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66"/>
        <w:gridCol w:w="2949"/>
        <w:gridCol w:w="252"/>
        <w:gridCol w:w="3500"/>
        <w:gridCol w:w="18"/>
      </w:tblGrid>
      <w:tr w:rsidR="0081121D" w:rsidRPr="00480C1E" w14:paraId="4D7C5967" w14:textId="77777777" w:rsidTr="00652EB4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62"/>
            </w:tblGrid>
            <w:tr w:rsidR="00DB147F" w:rsidRPr="00480C1E" w14:paraId="5B196A5B" w14:textId="77777777" w:rsidTr="00DB147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62" w:type="dxa"/>
                  <w:shd w:val="clear" w:color="auto" w:fill="auto"/>
                </w:tcPr>
                <w:p w14:paraId="1E6FCB1D" w14:textId="77777777" w:rsidR="00DB147F" w:rsidRPr="00480C1E" w:rsidRDefault="00DB147F" w:rsidP="00652EB4">
                  <w:pPr>
                    <w:spacing w:after="0"/>
                    <w:jc w:val="center"/>
                    <w:rPr>
                      <w:color w:val="0C0000"/>
                      <w:sz w:val="24"/>
                      <w:lang w:val="ru-RU"/>
                    </w:rPr>
                  </w:pPr>
                  <w:r w:rsidRPr="00480C1E">
                    <w:rPr>
                      <w:color w:val="0C0000"/>
                      <w:sz w:val="24"/>
                      <w:lang w:val="ru-RU"/>
                    </w:rPr>
                    <w:t>№ исх: МКД-09-1/601   от: 20.01.2023</w:t>
                  </w:r>
                </w:p>
                <w:p w14:paraId="41CFC731" w14:textId="77777777" w:rsidR="00DB147F" w:rsidRPr="00480C1E" w:rsidRDefault="00DB147F" w:rsidP="00652EB4">
                  <w:pPr>
                    <w:spacing w:after="0"/>
                    <w:jc w:val="center"/>
                    <w:rPr>
                      <w:color w:val="0C0000"/>
                      <w:sz w:val="24"/>
                      <w:lang w:val="ru-RU"/>
                    </w:rPr>
                  </w:pPr>
                  <w:r w:rsidRPr="00480C1E">
                    <w:rPr>
                      <w:color w:val="0C0000"/>
                      <w:sz w:val="24"/>
                      <w:lang w:val="ru-RU"/>
                    </w:rPr>
                    <w:t>№ вх: МКД-09-1/601   от: 20.01.2023</w:t>
                  </w:r>
                </w:p>
              </w:tc>
            </w:tr>
          </w:tbl>
          <w:p w14:paraId="791210CD" w14:textId="77777777" w:rsidR="0081121D" w:rsidRPr="00480C1E" w:rsidRDefault="0081121D" w:rsidP="00652E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9051" w14:textId="77777777" w:rsidR="0081121D" w:rsidRPr="00480C1E" w:rsidRDefault="0081121D" w:rsidP="00652EB4">
            <w:pPr>
              <w:spacing w:after="0"/>
              <w:jc w:val="center"/>
              <w:rPr>
                <w:lang w:val="ru-RU"/>
              </w:rPr>
            </w:pPr>
            <w:r w:rsidRPr="00480C1E">
              <w:rPr>
                <w:color w:val="000000"/>
                <w:sz w:val="20"/>
                <w:lang w:val="ru-RU"/>
              </w:rPr>
              <w:t xml:space="preserve">"Кедендік баждарды, 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>салықтарды, арнайы,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>демпингке қарсы, өтем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>баждарды төлеу жөніндегі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>міндеттердің орындалуын,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>сондай-ақ кеден ісі саласында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>қызметін жүзеге асыратын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>заңды тұлғаның және (немесе)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 xml:space="preserve">уәкілетті экономикалық 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 xml:space="preserve">оператордың міндеттерінің 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 xml:space="preserve">орындалуын қамтамасыз етуді 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>тіркеу" мемлекеттік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>көрсетілетін қызмет қағидасына</w:t>
            </w:r>
            <w:r w:rsidRPr="00480C1E">
              <w:rPr>
                <w:lang w:val="ru-RU"/>
              </w:rPr>
              <w:br/>
            </w:r>
            <w:r w:rsidRPr="00480C1E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81121D" w:rsidRPr="00480C1E" w14:paraId="33C36D8E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EA66D" w14:textId="77777777" w:rsidR="0081121D" w:rsidRPr="00480C1E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r w:rsidRPr="00480C1E">
              <w:rPr>
                <w:color w:val="000000"/>
                <w:sz w:val="20"/>
                <w:lang w:val="ru-RU"/>
              </w:rPr>
              <w:t>"Кедендік баждарды, салықтарды, арнайы, демпингке қарсы, өтем баждарды төлеу жөніндегі міндеттердің орындалуын, сондай-ақ кеден ісі саласында қызметін жүзеге асыратын заңды тұлғаның және (немесе) уәкілетті экономикалық оператордың міндеттерінің орындалуын қамтамасыз етуді тіркеу" мемлекеттік қызмет көрсетуге қойылатын негізгі талаптардың тізбесі</w:t>
            </w:r>
          </w:p>
        </w:tc>
      </w:tr>
      <w:tr w:rsidR="0081121D" w14:paraId="73364CC7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E9EC6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08FE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BC3DF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Комитет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Комитеттің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әрі-көрсетілетін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1121D" w14:paraId="3B38D002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C576C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277B8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78B22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3818785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www. 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1121D" w14:paraId="0250A0AB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0BCA3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17FE0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372DE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Кодекс</w:t>
            </w:r>
            <w:proofErr w:type="spellEnd"/>
            <w:r>
              <w:rPr>
                <w:color w:val="000000"/>
                <w:sz w:val="20"/>
              </w:rPr>
              <w:t xml:space="preserve">) 97-бабы 1-тармағының 1), 2), 3)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5) </w:t>
            </w:r>
            <w:proofErr w:type="spellStart"/>
            <w:r>
              <w:rPr>
                <w:color w:val="000000"/>
                <w:sz w:val="20"/>
              </w:rPr>
              <w:t>тармақшаларында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98-баптың 5-тармағының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бөлігіне</w:t>
            </w:r>
            <w:proofErr w:type="spellEnd"/>
            <w:r>
              <w:rPr>
                <w:color w:val="000000"/>
                <w:sz w:val="20"/>
              </w:rPr>
              <w:t xml:space="preserve">, 99-баптың 1-тармағының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бөлігіне</w:t>
            </w:r>
            <w:proofErr w:type="spellEnd"/>
            <w:r>
              <w:rPr>
                <w:color w:val="000000"/>
                <w:sz w:val="20"/>
              </w:rPr>
              <w:t xml:space="preserve">, 100-баптың 1-тармағының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102-баптың 1-тармағының </w:t>
            </w:r>
            <w:proofErr w:type="spellStart"/>
            <w:r>
              <w:rPr>
                <w:color w:val="000000"/>
                <w:sz w:val="20"/>
              </w:rPr>
              <w:t>алтыншы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2 (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94A74DA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97-бабы 1-тармағының 4) </w:t>
            </w:r>
            <w:proofErr w:type="spellStart"/>
            <w:r>
              <w:rPr>
                <w:color w:val="000000"/>
                <w:sz w:val="20"/>
              </w:rPr>
              <w:t>тармақшасында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тәртіппен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101-бабына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ресімделген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2 (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3871D6F7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кешіктірілмей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1121D" w:rsidRPr="00480C1E" w14:paraId="2426BC49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078EA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B9D13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5BA3E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181C">
              <w:rPr>
                <w:color w:val="000000"/>
                <w:sz w:val="20"/>
                <w:lang w:val="ru-RU"/>
              </w:rPr>
              <w:t>Электронды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жартылай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автоматтандырылған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)/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түрінде</w:t>
            </w:r>
            <w:proofErr w:type="spellEnd"/>
          </w:p>
        </w:tc>
      </w:tr>
      <w:tr w:rsidR="0081121D" w14:paraId="2AE3BADD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1F53D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A1242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B336F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демпингке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өтемақы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ресімдеу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тізбенің</w:t>
            </w:r>
            <w:proofErr w:type="spellEnd"/>
            <w:r>
              <w:rPr>
                <w:color w:val="000000"/>
                <w:sz w:val="20"/>
              </w:rPr>
              <w:t xml:space="preserve"> 9-тармағында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751111C5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1121D" w14:paraId="43737053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7358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9E69C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E162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</w:p>
        </w:tc>
      </w:tr>
      <w:tr w:rsidR="0081121D" w14:paraId="51683F53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90694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E4137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8D8F0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Мерекелер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09.00-ден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31372FB4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09.00-ден 17.30-ға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етпей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2D2DCEEE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81121D" w:rsidRPr="00480C1E" w14:paraId="5A441EA3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23C34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C63B2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95E1B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8CC25B8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97-бабы 1-тармағының 1), 2), 3), 4)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5) </w:t>
            </w:r>
            <w:proofErr w:type="spellStart"/>
            <w:r>
              <w:rPr>
                <w:color w:val="000000"/>
                <w:sz w:val="20"/>
              </w:rPr>
              <w:t>тармақшаларында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7AD003F8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демпингке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rPr>
                <w:color w:val="000000"/>
                <w:sz w:val="20"/>
              </w:rPr>
              <w:t xml:space="preserve"> № 294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демпингке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қағидасына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Қағидалар</w:t>
            </w:r>
            <w:proofErr w:type="spellEnd"/>
            <w:r>
              <w:rPr>
                <w:color w:val="000000"/>
                <w:sz w:val="20"/>
              </w:rPr>
              <w:t xml:space="preserve">) 2-қосымшаға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935322A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осындай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28D22C7B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94-бабы 12-тармағының 4)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5) </w:t>
            </w:r>
            <w:proofErr w:type="spellStart"/>
            <w:r>
              <w:rPr>
                <w:color w:val="000000"/>
                <w:sz w:val="20"/>
              </w:rPr>
              <w:t>тармақшаларында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2013F81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кепіл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4EE0305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9F69169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бағалаушының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33544A1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0D96CC60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181C">
              <w:rPr>
                <w:color w:val="000000"/>
                <w:sz w:val="20"/>
                <w:lang w:val="ru-RU"/>
              </w:rPr>
              <w:t>Құжаттарды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портал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арқылы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берген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кезде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>:</w:t>
            </w:r>
          </w:p>
          <w:p w14:paraId="6D2B4A53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r w:rsidRPr="0087181C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Кодекстің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97-бабы 1-тармағының 1), 2), 3), 4)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5)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тармақшаларында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көзделген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тәсілдермен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кедендік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баждарды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салықтарды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төлеу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жөніндегі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міндеттің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орындалуын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>:</w:t>
            </w:r>
          </w:p>
          <w:p w14:paraId="30CF4EFC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181C">
              <w:rPr>
                <w:color w:val="000000"/>
                <w:sz w:val="20"/>
                <w:lang w:val="ru-RU"/>
              </w:rPr>
              <w:t>кедендік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баждарды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салықтарды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арнайы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демпингке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қарсы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өтем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баждарды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төлеу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жөніндегі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міндеттердің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орындалуын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сондай-ақ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кеден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ісі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саласында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қызметін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жүзеге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асыратын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заңды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тұлғаның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уәкілетті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экономикалық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оператордың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міндеттерінің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орындалуын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етуді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қағидасына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2-қосымшаға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нысан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өтініш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>;</w:t>
            </w:r>
          </w:p>
          <w:p w14:paraId="1C15E4B4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181C">
              <w:rPr>
                <w:color w:val="000000"/>
                <w:sz w:val="20"/>
                <w:lang w:val="ru-RU"/>
              </w:rPr>
              <w:t>кедендік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баждарды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салықтарды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төлеу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жөніндегі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міндеттерді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орындауды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етудің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таңдалған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түріне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lastRenderedPageBreak/>
              <w:t>сәйкес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осындай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етуді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растайтын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құжаттардың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бірін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>:</w:t>
            </w:r>
          </w:p>
          <w:p w14:paraId="0EF387FD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Кодекстің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94-бабы 12-тармағының 4)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5)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тармақшаларында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көрсетілген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құжаттардың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көшірмесі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>;</w:t>
            </w:r>
          </w:p>
          <w:p w14:paraId="2FB4AA09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181C">
              <w:rPr>
                <w:color w:val="000000"/>
                <w:sz w:val="20"/>
                <w:lang w:val="ru-RU"/>
              </w:rPr>
              <w:t>кепіл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–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деңгейдегі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банк пен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төлеуші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арасында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жасалған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банк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кепілдігі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шарты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банк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кепілдігінің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көшірмесі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>;</w:t>
            </w:r>
          </w:p>
          <w:p w14:paraId="40EBECCB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Азаматтық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кодекске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жасалған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кепілгерлік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шартының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көшірмесі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>;</w:t>
            </w:r>
          </w:p>
          <w:p w14:paraId="35E7F333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181C">
              <w:rPr>
                <w:color w:val="000000"/>
                <w:sz w:val="20"/>
                <w:lang w:val="ru-RU"/>
              </w:rPr>
              <w:t>төлеуші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тұлға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арасында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жасалған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мүліктік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кепілдік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шартының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көшірмесі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бағалаушының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кепіл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мүлігінің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нарықтық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құнын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бағалау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есебі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мүлікті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сақтандыру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шарты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қосымшасы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>;</w:t>
            </w:r>
          </w:p>
          <w:p w14:paraId="1E69C1FF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181C">
              <w:rPr>
                <w:color w:val="000000"/>
                <w:sz w:val="20"/>
                <w:lang w:val="ru-RU"/>
              </w:rPr>
              <w:t>сақтандыру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қызметін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жүзеге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асыру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құқығына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лицензиясы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бар,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сақтандыру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ұйымдарының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тізіліміне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енгізілген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сақтандыру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ұйымдары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берген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сақтандыру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шарттардың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көшірмесін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табыс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етеді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81121D" w14:paraId="42095B6C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84C9A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F6D51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166D7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ақшаны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пайдалануында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C23093D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өсімпұлдардың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осындай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104-бабына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98-бабы 4-тармағының 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бөліктерінде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7265FC5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қолдануында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634F716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8F7DDC2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өсімпұлдардың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осындай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99-бабы 3-тармағының </w:t>
            </w:r>
            <w:proofErr w:type="spellStart"/>
            <w:r>
              <w:rPr>
                <w:color w:val="000000"/>
                <w:sz w:val="20"/>
              </w:rPr>
              <w:t>ережелері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104-бабына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803425A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97-бабы 5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6-тармақтарында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келмесе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мұндай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өсімпұлдардың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пайыздардың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тиесілі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талабын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0155FAC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кепілгерлік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қолдануында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F040F52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9CC7B5A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99-бабы 2-тармағында </w:t>
            </w:r>
            <w:proofErr w:type="spellStart"/>
            <w:r>
              <w:rPr>
                <w:color w:val="000000"/>
                <w:sz w:val="20"/>
              </w:rPr>
              <w:t>айқындалған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4A51F3C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101-бабы 3-тармағында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DAC1E3C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102-бабы 2-тармағында </w:t>
            </w:r>
            <w:proofErr w:type="spellStart"/>
            <w:r>
              <w:rPr>
                <w:color w:val="000000"/>
                <w:sz w:val="20"/>
              </w:rPr>
              <w:t>айқындалған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F10AAAF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кепілгер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етпесе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D70A89C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өсімпұлдардың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осындай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100-бабы 2-тармағының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104-бабына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кепілгерлік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6012284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мүлік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қолдануында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496047B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A36DD6A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кепілге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өтімді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жойылудан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бүлінуден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5D91994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97-бабы 5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6-тармақтарында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келеді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4B71617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101-бабы 3-тармағында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ED7233A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5)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қолдануында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операцияларды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rPr>
                <w:color w:val="000000"/>
                <w:sz w:val="20"/>
              </w:rPr>
              <w:t xml:space="preserve"> № 295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16661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операцияларды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келмесе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талабына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E6F7516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өсімпұлдардың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осындай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102-бабы 3-тармағының </w:t>
            </w:r>
            <w:proofErr w:type="spellStart"/>
            <w:r>
              <w:rPr>
                <w:color w:val="000000"/>
                <w:sz w:val="20"/>
              </w:rPr>
              <w:t>ережелері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104-бабына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4EBA123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97-бабы 5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6-тармақтарында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4E9194E1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төлеушімен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мұндай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өсімпұлдардың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пайыздардың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тиесілі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талабын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1121D" w:rsidRPr="00480C1E" w14:paraId="1DC77FF4" w14:textId="77777777" w:rsidTr="00652E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51659" w14:textId="77777777" w:rsidR="0081121D" w:rsidRDefault="0081121D" w:rsidP="00652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7458C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F761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– www. 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>
              <w:rPr>
                <w:color w:val="000000"/>
                <w:sz w:val="20"/>
              </w:rPr>
              <w:t xml:space="preserve">. gov.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, www. </w:t>
            </w:r>
            <w:proofErr w:type="spellStart"/>
            <w:r>
              <w:rPr>
                <w:color w:val="000000"/>
                <w:sz w:val="20"/>
              </w:rPr>
              <w:t>minfin</w:t>
            </w:r>
            <w:proofErr w:type="spellEnd"/>
            <w:r>
              <w:rPr>
                <w:color w:val="000000"/>
                <w:sz w:val="20"/>
              </w:rPr>
              <w:t xml:space="preserve">. gov.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2CE6372E" w14:textId="77777777" w:rsidR="0081121D" w:rsidRDefault="0081121D" w:rsidP="00652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16DFAB9E" w14:textId="77777777" w:rsidR="0081121D" w:rsidRPr="0087181C" w:rsidRDefault="0081121D" w:rsidP="00652E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181C">
              <w:rPr>
                <w:color w:val="000000"/>
                <w:sz w:val="20"/>
                <w:lang w:val="ru-RU"/>
              </w:rPr>
              <w:t>Бірыңғай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байланыс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орталығының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байланыс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181C">
              <w:rPr>
                <w:color w:val="000000"/>
                <w:sz w:val="20"/>
                <w:lang w:val="ru-RU"/>
              </w:rPr>
              <w:t>телефондары</w:t>
            </w:r>
            <w:proofErr w:type="spellEnd"/>
            <w:r w:rsidRPr="0087181C">
              <w:rPr>
                <w:color w:val="000000"/>
                <w:sz w:val="20"/>
                <w:lang w:val="ru-RU"/>
              </w:rPr>
              <w:t>: 1414, 8-800-080-7777.</w:t>
            </w:r>
          </w:p>
        </w:tc>
      </w:tr>
    </w:tbl>
    <w:p w14:paraId="098465EC" w14:textId="77777777" w:rsidR="00C45F6C" w:rsidRDefault="00C45F6C" w:rsidP="00DB147F">
      <w:pPr>
        <w:rPr>
          <w:lang w:val="ru-RU"/>
        </w:rPr>
      </w:pPr>
    </w:p>
    <w:p w14:paraId="3746BDA4" w14:textId="77777777" w:rsidR="00DB147F" w:rsidRDefault="00DB147F" w:rsidP="00DB147F">
      <w:pPr>
        <w:rPr>
          <w:lang w:val="ru-RU"/>
        </w:rPr>
      </w:pPr>
    </w:p>
    <w:p w14:paraId="2FE60B2E" w14:textId="77777777" w:rsidR="00DB147F" w:rsidRPr="00DB147F" w:rsidRDefault="00DB147F" w:rsidP="00DB147F">
      <w:pPr>
        <w:rPr>
          <w:color w:val="0C0000"/>
          <w:sz w:val="20"/>
          <w:lang w:val="ru-RU"/>
        </w:rPr>
      </w:pPr>
      <w:r>
        <w:rPr>
          <w:b/>
          <w:color w:val="0C0000"/>
          <w:sz w:val="20"/>
          <w:lang w:val="ru-RU"/>
        </w:rPr>
        <w:t>Результаты согласования</w:t>
      </w:r>
      <w:r>
        <w:rPr>
          <w:b/>
          <w:color w:val="0C0000"/>
          <w:sz w:val="20"/>
          <w:lang w:val="ru-RU"/>
        </w:rPr>
        <w:br/>
      </w:r>
      <w:r>
        <w:rPr>
          <w:color w:val="0C0000"/>
          <w:sz w:val="20"/>
          <w:lang w:val="ru-RU"/>
        </w:rPr>
        <w:t xml:space="preserve">20.01.2023 12:16:37: </w:t>
      </w:r>
      <w:proofErr w:type="spellStart"/>
      <w:r>
        <w:rPr>
          <w:color w:val="0C0000"/>
          <w:sz w:val="20"/>
          <w:lang w:val="ru-RU"/>
        </w:rPr>
        <w:t>Дадетова</w:t>
      </w:r>
      <w:proofErr w:type="spellEnd"/>
      <w:r>
        <w:rPr>
          <w:color w:val="0C0000"/>
          <w:sz w:val="20"/>
          <w:lang w:val="ru-RU"/>
        </w:rPr>
        <w:t xml:space="preserve"> Г. К. (Отдел развития и контроля качества государственных услуг) - - </w:t>
      </w:r>
      <w:proofErr w:type="spellStart"/>
      <w:r>
        <w:rPr>
          <w:color w:val="0C0000"/>
          <w:sz w:val="20"/>
          <w:lang w:val="ru-RU"/>
        </w:rPr>
        <w:t>cогласовано</w:t>
      </w:r>
      <w:proofErr w:type="spellEnd"/>
      <w:r>
        <w:rPr>
          <w:color w:val="0C0000"/>
          <w:sz w:val="20"/>
          <w:lang w:val="ru-RU"/>
        </w:rPr>
        <w:t xml:space="preserve"> без замечаний</w:t>
      </w:r>
      <w:r>
        <w:rPr>
          <w:color w:val="0C0000"/>
          <w:sz w:val="20"/>
          <w:lang w:val="ru-RU"/>
        </w:rPr>
        <w:br/>
      </w:r>
    </w:p>
    <w:sectPr w:rsidR="00DB147F" w:rsidRPr="00DB14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1E45" w14:textId="77777777" w:rsidR="00140732" w:rsidRDefault="00140732" w:rsidP="00DB147F">
      <w:pPr>
        <w:spacing w:after="0" w:line="240" w:lineRule="auto"/>
      </w:pPr>
      <w:r>
        <w:separator/>
      </w:r>
    </w:p>
  </w:endnote>
  <w:endnote w:type="continuationSeparator" w:id="0">
    <w:p w14:paraId="08B12E65" w14:textId="77777777" w:rsidR="00140732" w:rsidRDefault="00140732" w:rsidP="00DB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E91F" w14:textId="77777777" w:rsidR="00DB147F" w:rsidRDefault="00DB147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3C006" wp14:editId="4C5A6B0A">
              <wp:simplePos x="0" y="0"/>
              <wp:positionH relativeFrom="column">
                <wp:posOffset>6099175</wp:posOffset>
              </wp:positionH>
              <wp:positionV relativeFrom="paragraph">
                <wp:posOffset>-9012682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935B3" w14:textId="77777777" w:rsidR="00DB147F" w:rsidRPr="00DB147F" w:rsidRDefault="00DB147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20.01.2023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3C00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9.6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QGQIAAC8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" filled="f" stroked="f" strokeweight=".5pt">
              <v:fill o:detectmouseclick="t"/>
              <v:textbox style="layout-flow:vertical;mso-layout-flow-alt:bottom-to-top">
                <w:txbxContent>
                  <w:p w14:paraId="43C935B3" w14:textId="77777777" w:rsidR="00DB147F" w:rsidRPr="00DB147F" w:rsidRDefault="00DB147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20.01.2023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671A" w14:textId="77777777" w:rsidR="00140732" w:rsidRDefault="00140732" w:rsidP="00DB147F">
      <w:pPr>
        <w:spacing w:after="0" w:line="240" w:lineRule="auto"/>
      </w:pPr>
      <w:r>
        <w:separator/>
      </w:r>
    </w:p>
  </w:footnote>
  <w:footnote w:type="continuationSeparator" w:id="0">
    <w:p w14:paraId="305E3E30" w14:textId="77777777" w:rsidR="00140732" w:rsidRDefault="00140732" w:rsidP="00DB1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21D"/>
    <w:rsid w:val="00140732"/>
    <w:rsid w:val="00480C1E"/>
    <w:rsid w:val="0081121D"/>
    <w:rsid w:val="008B677E"/>
    <w:rsid w:val="00C45F6C"/>
    <w:rsid w:val="00DB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4F7D5"/>
  <w15:docId w15:val="{759F82ED-305B-4C99-BEC1-01B5C3E3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21D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DB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7F"/>
    <w:rPr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DB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7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Дарын Әлімханұлы Әлімхан</cp:lastModifiedBy>
  <cp:revision>2</cp:revision>
  <dcterms:created xsi:type="dcterms:W3CDTF">2023-01-20T08:47:00Z</dcterms:created>
  <dcterms:modified xsi:type="dcterms:W3CDTF">2023-01-20T08:47:00Z</dcterms:modified>
</cp:coreProperties>
</file>