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CD" w:rsidRPr="00993900" w:rsidRDefault="00A92FCD" w:rsidP="004D7913">
      <w:pPr>
        <w:overflowPunct w:val="0"/>
        <w:autoSpaceDE w:val="0"/>
        <w:autoSpaceDN w:val="0"/>
        <w:adjustRightInd w:val="0"/>
        <w:spacing w:after="0" w:line="240" w:lineRule="auto"/>
        <w:ind w:left="5954"/>
        <w:jc w:val="center"/>
        <w:rPr>
          <w:rFonts w:ascii="Times New Roman" w:eastAsia="Calibri" w:hAnsi="Times New Roman" w:cs="Times New Roman"/>
          <w:sz w:val="28"/>
          <w:szCs w:val="28"/>
          <w:lang w:eastAsia="ru-RU"/>
        </w:rPr>
      </w:pPr>
      <w:r w:rsidRPr="00993900">
        <w:rPr>
          <w:rFonts w:ascii="Times New Roman" w:eastAsia="Calibri" w:hAnsi="Times New Roman" w:cs="Times New Roman"/>
          <w:sz w:val="28"/>
          <w:szCs w:val="28"/>
          <w:lang w:eastAsia="ru-RU"/>
        </w:rPr>
        <w:t xml:space="preserve">Приложение </w:t>
      </w:r>
      <w:r w:rsidR="0063678F" w:rsidRPr="00993900">
        <w:rPr>
          <w:rFonts w:ascii="Times New Roman" w:eastAsia="Calibri" w:hAnsi="Times New Roman" w:cs="Times New Roman"/>
          <w:sz w:val="28"/>
          <w:szCs w:val="28"/>
          <w:lang w:eastAsia="ru-RU"/>
        </w:rPr>
        <w:t>1</w:t>
      </w:r>
    </w:p>
    <w:p w:rsidR="00A92FCD" w:rsidRDefault="00A92FCD" w:rsidP="004D7913">
      <w:pPr>
        <w:overflowPunct w:val="0"/>
        <w:autoSpaceDE w:val="0"/>
        <w:autoSpaceDN w:val="0"/>
        <w:adjustRightInd w:val="0"/>
        <w:spacing w:after="0" w:line="240" w:lineRule="auto"/>
        <w:ind w:left="5954"/>
        <w:jc w:val="center"/>
        <w:rPr>
          <w:rFonts w:ascii="Times New Roman" w:eastAsia="Calibri" w:hAnsi="Times New Roman" w:cs="Times New Roman"/>
          <w:sz w:val="28"/>
          <w:szCs w:val="28"/>
          <w:lang w:eastAsia="ru-RU"/>
        </w:rPr>
      </w:pPr>
      <w:r w:rsidRPr="00993900">
        <w:rPr>
          <w:rFonts w:ascii="Times New Roman" w:eastAsia="Calibri" w:hAnsi="Times New Roman" w:cs="Times New Roman"/>
          <w:sz w:val="28"/>
          <w:szCs w:val="28"/>
          <w:lang w:eastAsia="ru-RU"/>
        </w:rPr>
        <w:t>к Правилам оказания государственной услуги «Включение в реестр таможенных перевозчиков»</w:t>
      </w:r>
    </w:p>
    <w:p w:rsidR="004D7913" w:rsidRPr="00993900" w:rsidRDefault="004D7913" w:rsidP="004D7913">
      <w:pPr>
        <w:overflowPunct w:val="0"/>
        <w:autoSpaceDE w:val="0"/>
        <w:autoSpaceDN w:val="0"/>
        <w:adjustRightInd w:val="0"/>
        <w:spacing w:after="0" w:line="240" w:lineRule="auto"/>
        <w:ind w:left="5954"/>
        <w:jc w:val="center"/>
        <w:rPr>
          <w:rFonts w:ascii="Times New Roman" w:eastAsia="Calibri" w:hAnsi="Times New Roman" w:cs="Times New Roman"/>
          <w:sz w:val="28"/>
          <w:szCs w:val="28"/>
          <w:lang w:eastAsia="ru-RU"/>
        </w:rPr>
      </w:pPr>
    </w:p>
    <w:tbl>
      <w:tblPr>
        <w:tblStyle w:val="1"/>
        <w:tblW w:w="9747" w:type="dxa"/>
        <w:tblLook w:val="04A0" w:firstRow="1" w:lastRow="0" w:firstColumn="1" w:lastColumn="0" w:noHBand="0" w:noVBand="1"/>
      </w:tblPr>
      <w:tblGrid>
        <w:gridCol w:w="817"/>
        <w:gridCol w:w="3008"/>
        <w:gridCol w:w="5922"/>
      </w:tblGrid>
      <w:tr w:rsidR="00993900" w:rsidRPr="00964E91" w:rsidTr="005B5814">
        <w:tc>
          <w:tcPr>
            <w:tcW w:w="9747" w:type="dxa"/>
            <w:gridSpan w:val="3"/>
          </w:tcPr>
          <w:p w:rsidR="00993900" w:rsidRPr="00964E91" w:rsidRDefault="00993900" w:rsidP="00993900">
            <w:pPr>
              <w:overflowPunct w:val="0"/>
              <w:autoSpaceDE w:val="0"/>
              <w:autoSpaceDN w:val="0"/>
              <w:adjustRightInd w:val="0"/>
              <w:jc w:val="center"/>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Стандарт государственной услуги «Включение в реестр таможенных перевозчиков»</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 xml:space="preserve">Наименование </w:t>
            </w:r>
            <w:proofErr w:type="spellStart"/>
            <w:r w:rsidRPr="00964E91">
              <w:rPr>
                <w:rFonts w:ascii="Times New Roman" w:eastAsia="Calibri" w:hAnsi="Times New Roman" w:cs="Times New Roman"/>
                <w:bCs/>
                <w:sz w:val="28"/>
                <w:szCs w:val="28"/>
              </w:rPr>
              <w:t>услугодателя</w:t>
            </w:r>
            <w:proofErr w:type="spellEnd"/>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 xml:space="preserve">Территориальные органы </w:t>
            </w:r>
            <w:proofErr w:type="gramStart"/>
            <w:r w:rsidRPr="00964E91">
              <w:rPr>
                <w:rFonts w:ascii="Times New Roman" w:eastAsia="Calibri" w:hAnsi="Times New Roman" w:cs="Times New Roman"/>
                <w:bCs/>
                <w:sz w:val="28"/>
                <w:szCs w:val="28"/>
              </w:rPr>
              <w:t>Комитета государственных доходов М</w:t>
            </w:r>
            <w:r w:rsidR="004D7913">
              <w:rPr>
                <w:rFonts w:ascii="Times New Roman" w:eastAsia="Calibri" w:hAnsi="Times New Roman" w:cs="Times New Roman"/>
                <w:bCs/>
                <w:sz w:val="28"/>
                <w:szCs w:val="28"/>
              </w:rPr>
              <w:t>инистерства финансов Республики</w:t>
            </w:r>
            <w:proofErr w:type="gramEnd"/>
            <w:r w:rsidR="004D7913">
              <w:rPr>
                <w:rFonts w:ascii="Times New Roman" w:eastAsia="Calibri" w:hAnsi="Times New Roman" w:cs="Times New Roman"/>
                <w:bCs/>
                <w:sz w:val="28"/>
                <w:szCs w:val="28"/>
              </w:rPr>
              <w:t xml:space="preserve"> Казахстан </w:t>
            </w:r>
            <w:r w:rsidRPr="00964E91">
              <w:rPr>
                <w:rFonts w:ascii="Times New Roman" w:eastAsia="Calibri" w:hAnsi="Times New Roman" w:cs="Times New Roman"/>
                <w:bCs/>
                <w:sz w:val="28"/>
                <w:szCs w:val="28"/>
              </w:rPr>
              <w:t xml:space="preserve">по областям, городам </w:t>
            </w:r>
            <w:proofErr w:type="spellStart"/>
            <w:r w:rsidRPr="00964E91">
              <w:rPr>
                <w:rFonts w:ascii="Times New Roman" w:eastAsia="Calibri" w:hAnsi="Times New Roman" w:cs="Times New Roman"/>
                <w:bCs/>
                <w:sz w:val="28"/>
                <w:szCs w:val="28"/>
              </w:rPr>
              <w:t>Нур</w:t>
            </w:r>
            <w:proofErr w:type="spellEnd"/>
            <w:r w:rsidRPr="00964E91">
              <w:rPr>
                <w:rFonts w:ascii="Times New Roman" w:eastAsia="Calibri" w:hAnsi="Times New Roman" w:cs="Times New Roman"/>
                <w:bCs/>
                <w:sz w:val="28"/>
                <w:szCs w:val="28"/>
              </w:rPr>
              <w:t>-Султану, Алматы и Шымкент</w:t>
            </w:r>
            <w:r w:rsidR="00905CA1">
              <w:rPr>
                <w:rFonts w:ascii="Times New Roman" w:eastAsia="Calibri" w:hAnsi="Times New Roman" w:cs="Times New Roman"/>
                <w:bCs/>
                <w:sz w:val="28"/>
                <w:szCs w:val="28"/>
              </w:rPr>
              <w:t>у</w:t>
            </w:r>
            <w:r w:rsidR="004D7913">
              <w:rPr>
                <w:rFonts w:ascii="Times New Roman" w:eastAsia="Calibri" w:hAnsi="Times New Roman" w:cs="Times New Roman"/>
                <w:bCs/>
                <w:sz w:val="28"/>
                <w:szCs w:val="28"/>
              </w:rPr>
              <w:t>.</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Способы предоставления государственной услуги</w:t>
            </w:r>
          </w:p>
        </w:tc>
        <w:tc>
          <w:tcPr>
            <w:tcW w:w="5922" w:type="dxa"/>
          </w:tcPr>
          <w:p w:rsidR="004D7913" w:rsidRPr="004D7913" w:rsidRDefault="004D7913" w:rsidP="00687EE0">
            <w:pPr>
              <w:overflowPunct w:val="0"/>
              <w:autoSpaceDE w:val="0"/>
              <w:autoSpaceDN w:val="0"/>
              <w:adjustRightInd w:val="0"/>
              <w:ind w:firstLine="570"/>
              <w:jc w:val="both"/>
              <w:rPr>
                <w:rFonts w:ascii="Times New Roman" w:eastAsia="Calibri" w:hAnsi="Times New Roman" w:cs="Times New Roman"/>
                <w:color w:val="000000"/>
                <w:sz w:val="28"/>
                <w:szCs w:val="28"/>
              </w:rPr>
            </w:pPr>
            <w:r w:rsidRPr="004D7913">
              <w:rPr>
                <w:rFonts w:ascii="Times New Roman" w:eastAsia="Calibri" w:hAnsi="Times New Roman" w:cs="Times New Roman"/>
                <w:color w:val="000000"/>
                <w:sz w:val="28"/>
                <w:szCs w:val="28"/>
              </w:rPr>
              <w:t xml:space="preserve">1) через </w:t>
            </w:r>
            <w:proofErr w:type="spellStart"/>
            <w:r w:rsidRPr="004D7913">
              <w:rPr>
                <w:rFonts w:ascii="Times New Roman" w:eastAsia="Calibri" w:hAnsi="Times New Roman" w:cs="Times New Roman"/>
                <w:color w:val="000000"/>
                <w:sz w:val="28"/>
                <w:szCs w:val="28"/>
              </w:rPr>
              <w:t>услугодателя</w:t>
            </w:r>
            <w:proofErr w:type="spellEnd"/>
            <w:r w:rsidRPr="004D7913">
              <w:rPr>
                <w:rFonts w:ascii="Times New Roman" w:eastAsia="Calibri" w:hAnsi="Times New Roman" w:cs="Times New Roman"/>
                <w:color w:val="000000"/>
                <w:sz w:val="28"/>
                <w:szCs w:val="28"/>
              </w:rPr>
              <w:t>;</w:t>
            </w:r>
          </w:p>
          <w:p w:rsidR="00993900" w:rsidRPr="00964E91" w:rsidRDefault="004D7913" w:rsidP="00687EE0">
            <w:pPr>
              <w:overflowPunct w:val="0"/>
              <w:autoSpaceDE w:val="0"/>
              <w:autoSpaceDN w:val="0"/>
              <w:adjustRightInd w:val="0"/>
              <w:ind w:firstLine="570"/>
              <w:jc w:val="both"/>
              <w:rPr>
                <w:rFonts w:ascii="Times New Roman" w:eastAsia="Calibri" w:hAnsi="Times New Roman" w:cs="Times New Roman"/>
                <w:bCs/>
                <w:sz w:val="28"/>
                <w:szCs w:val="28"/>
              </w:rPr>
            </w:pPr>
            <w:r w:rsidRPr="004D7913">
              <w:rPr>
                <w:rFonts w:ascii="Times New Roman" w:eastAsia="Calibri" w:hAnsi="Times New Roman" w:cs="Times New Roman"/>
                <w:color w:val="000000"/>
                <w:sz w:val="28"/>
                <w:szCs w:val="28"/>
              </w:rPr>
              <w:t>2) посредством веб-портала «электронного правительства» www.egov.kz (далее – портал).</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Сроки оказания государственной услуги</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1) с момента сдачи пакета документов </w:t>
            </w:r>
            <w:proofErr w:type="spellStart"/>
            <w:r w:rsidRPr="00964E91">
              <w:rPr>
                <w:rFonts w:ascii="Times New Roman" w:eastAsia="Calibri" w:hAnsi="Times New Roman" w:cs="Times New Roman"/>
                <w:sz w:val="28"/>
                <w:szCs w:val="28"/>
              </w:rPr>
              <w:t>услугополучателем</w:t>
            </w:r>
            <w:proofErr w:type="spellEnd"/>
            <w:r w:rsidR="00687EE0">
              <w:rPr>
                <w:rFonts w:ascii="Times New Roman" w:eastAsia="Calibri" w:hAnsi="Times New Roman" w:cs="Times New Roman"/>
                <w:sz w:val="28"/>
                <w:szCs w:val="28"/>
              </w:rPr>
              <w:t xml:space="preserve"> </w:t>
            </w:r>
            <w:proofErr w:type="spellStart"/>
            <w:r w:rsidRPr="00964E91">
              <w:rPr>
                <w:rFonts w:ascii="Times New Roman" w:eastAsia="Calibri" w:hAnsi="Times New Roman" w:cs="Times New Roman"/>
                <w:sz w:val="28"/>
                <w:szCs w:val="28"/>
              </w:rPr>
              <w:t>услугодателю</w:t>
            </w:r>
            <w:proofErr w:type="spellEnd"/>
            <w:r w:rsidRPr="00964E91">
              <w:rPr>
                <w:rFonts w:ascii="Times New Roman" w:eastAsia="Calibri" w:hAnsi="Times New Roman" w:cs="Times New Roman"/>
                <w:sz w:val="28"/>
                <w:szCs w:val="28"/>
              </w:rPr>
              <w:t xml:space="preserve"> и на портал – 10 (десять) рабочих дней;</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2) максимально допустимое время ожидания для сдачи пакета документов </w:t>
            </w:r>
            <w:proofErr w:type="spellStart"/>
            <w:r w:rsidRPr="00964E91">
              <w:rPr>
                <w:rFonts w:ascii="Times New Roman" w:eastAsia="Calibri" w:hAnsi="Times New Roman" w:cs="Times New Roman"/>
                <w:sz w:val="28"/>
                <w:szCs w:val="28"/>
              </w:rPr>
              <w:t>услугополучателем</w:t>
            </w:r>
            <w:proofErr w:type="spellEnd"/>
            <w:r w:rsidR="004D7913">
              <w:rPr>
                <w:rFonts w:ascii="Times New Roman" w:eastAsia="Calibri" w:hAnsi="Times New Roman" w:cs="Times New Roman"/>
                <w:sz w:val="28"/>
                <w:szCs w:val="28"/>
              </w:rPr>
              <w:t xml:space="preserve"> </w:t>
            </w:r>
            <w:proofErr w:type="spellStart"/>
            <w:r w:rsidRPr="00964E91">
              <w:rPr>
                <w:rFonts w:ascii="Times New Roman" w:eastAsia="Calibri" w:hAnsi="Times New Roman" w:cs="Times New Roman"/>
                <w:sz w:val="28"/>
                <w:szCs w:val="28"/>
              </w:rPr>
              <w:t>услугодателю</w:t>
            </w:r>
            <w:proofErr w:type="spellEnd"/>
            <w:r w:rsidRPr="00964E91">
              <w:rPr>
                <w:rFonts w:ascii="Times New Roman" w:eastAsia="Calibri" w:hAnsi="Times New Roman" w:cs="Times New Roman"/>
                <w:sz w:val="28"/>
                <w:szCs w:val="28"/>
              </w:rPr>
              <w:t xml:space="preserve"> – </w:t>
            </w:r>
            <w:r w:rsidR="004D7913">
              <w:rPr>
                <w:rFonts w:ascii="Times New Roman" w:eastAsia="Calibri" w:hAnsi="Times New Roman" w:cs="Times New Roman"/>
                <w:sz w:val="28"/>
                <w:szCs w:val="28"/>
              </w:rPr>
              <w:t xml:space="preserve">                  </w:t>
            </w:r>
            <w:r w:rsidRPr="00964E91">
              <w:rPr>
                <w:rFonts w:ascii="Times New Roman" w:eastAsia="Calibri" w:hAnsi="Times New Roman" w:cs="Times New Roman"/>
                <w:sz w:val="28"/>
                <w:szCs w:val="28"/>
              </w:rPr>
              <w:t>20 (двадцать) минут;</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 xml:space="preserve">3) максимально допустимое время обслуживания </w:t>
            </w:r>
            <w:proofErr w:type="spellStart"/>
            <w:r w:rsidRPr="00964E91">
              <w:rPr>
                <w:rFonts w:ascii="Times New Roman" w:eastAsia="Calibri" w:hAnsi="Times New Roman" w:cs="Times New Roman"/>
                <w:sz w:val="28"/>
                <w:szCs w:val="28"/>
              </w:rPr>
              <w:t>услугополучателя</w:t>
            </w:r>
            <w:proofErr w:type="spellEnd"/>
            <w:r w:rsidRPr="00964E91">
              <w:rPr>
                <w:rFonts w:ascii="Times New Roman" w:eastAsia="Calibri" w:hAnsi="Times New Roman" w:cs="Times New Roman"/>
                <w:sz w:val="28"/>
                <w:szCs w:val="28"/>
              </w:rPr>
              <w:t xml:space="preserve"> – </w:t>
            </w:r>
            <w:r w:rsidR="004D7913">
              <w:rPr>
                <w:rFonts w:ascii="Times New Roman" w:eastAsia="Calibri" w:hAnsi="Times New Roman" w:cs="Times New Roman"/>
                <w:sz w:val="28"/>
                <w:szCs w:val="28"/>
              </w:rPr>
              <w:t xml:space="preserve">                  </w:t>
            </w:r>
            <w:r w:rsidRPr="00964E91">
              <w:rPr>
                <w:rFonts w:ascii="Times New Roman" w:eastAsia="Calibri" w:hAnsi="Times New Roman" w:cs="Times New Roman"/>
                <w:sz w:val="28"/>
                <w:szCs w:val="28"/>
              </w:rPr>
              <w:t>20 (двадцать) минут.</w:t>
            </w:r>
          </w:p>
        </w:tc>
      </w:tr>
      <w:tr w:rsidR="00993900" w:rsidRPr="00964E91" w:rsidTr="00993900">
        <w:tc>
          <w:tcPr>
            <w:tcW w:w="817" w:type="dxa"/>
          </w:tcPr>
          <w:p w:rsidR="00993900" w:rsidRPr="00964E91" w:rsidRDefault="00993900" w:rsidP="0055667F">
            <w:pPr>
              <w:jc w:val="both"/>
              <w:rPr>
                <w:rFonts w:ascii="Times New Roman" w:eastAsia="Calibri" w:hAnsi="Times New Roman" w:cs="Times New Roman"/>
                <w:bCs/>
                <w:color w:val="000000"/>
                <w:kern w:val="24"/>
                <w:sz w:val="28"/>
                <w:szCs w:val="28"/>
              </w:rPr>
            </w:pPr>
            <w:r>
              <w:rPr>
                <w:rFonts w:ascii="Times New Roman" w:eastAsia="Calibri" w:hAnsi="Times New Roman" w:cs="Times New Roman"/>
                <w:bCs/>
                <w:color w:val="000000"/>
                <w:kern w:val="24"/>
                <w:sz w:val="28"/>
                <w:szCs w:val="28"/>
              </w:rPr>
              <w:t>4</w:t>
            </w:r>
          </w:p>
        </w:tc>
        <w:tc>
          <w:tcPr>
            <w:tcW w:w="3008" w:type="dxa"/>
          </w:tcPr>
          <w:p w:rsidR="00993900" w:rsidRPr="00964E91" w:rsidRDefault="00993900" w:rsidP="0055667F">
            <w:pPr>
              <w:jc w:val="both"/>
              <w:rPr>
                <w:rFonts w:ascii="Times New Roman" w:hAnsi="Times New Roman" w:cs="Times New Roman"/>
                <w:sz w:val="28"/>
                <w:szCs w:val="28"/>
              </w:rPr>
            </w:pPr>
            <w:r w:rsidRPr="00964E91">
              <w:rPr>
                <w:rFonts w:ascii="Times New Roman" w:eastAsia="Calibri" w:hAnsi="Times New Roman" w:cs="Times New Roman"/>
                <w:bCs/>
                <w:color w:val="000000"/>
                <w:kern w:val="24"/>
                <w:sz w:val="28"/>
                <w:szCs w:val="28"/>
              </w:rPr>
              <w:t>Форма оказания государственной услуги</w:t>
            </w:r>
          </w:p>
        </w:tc>
        <w:tc>
          <w:tcPr>
            <w:tcW w:w="5922" w:type="dxa"/>
          </w:tcPr>
          <w:p w:rsidR="00993900" w:rsidRPr="00964E91" w:rsidRDefault="00993900" w:rsidP="00687EE0">
            <w:pPr>
              <w:ind w:firstLine="570"/>
              <w:jc w:val="both"/>
              <w:rPr>
                <w:rFonts w:ascii="Times New Roman" w:eastAsia="Calibri" w:hAnsi="Times New Roman" w:cs="Times New Roman"/>
                <w:color w:val="000000"/>
                <w:kern w:val="24"/>
                <w:sz w:val="28"/>
                <w:szCs w:val="28"/>
              </w:rPr>
            </w:pPr>
            <w:r w:rsidRPr="00964E91">
              <w:rPr>
                <w:rFonts w:ascii="Times New Roman" w:hAnsi="Times New Roman" w:cs="Times New Roman"/>
                <w:color w:val="000000"/>
                <w:spacing w:val="2"/>
                <w:kern w:val="24"/>
                <w:sz w:val="28"/>
                <w:szCs w:val="28"/>
              </w:rPr>
              <w:t>Электронная</w:t>
            </w:r>
            <w:r w:rsidRPr="00964E91">
              <w:rPr>
                <w:rFonts w:ascii="Times New Roman" w:eastAsia="Calibri" w:hAnsi="Times New Roman" w:cs="Times New Roman"/>
                <w:color w:val="000000"/>
                <w:kern w:val="24"/>
                <w:sz w:val="28"/>
                <w:szCs w:val="28"/>
              </w:rPr>
              <w:t xml:space="preserve"> (частично автоматизированная)</w:t>
            </w:r>
            <w:r>
              <w:rPr>
                <w:rFonts w:ascii="Times New Roman" w:eastAsia="Calibri" w:hAnsi="Times New Roman" w:cs="Times New Roman"/>
                <w:color w:val="000000"/>
                <w:kern w:val="24"/>
                <w:sz w:val="28"/>
                <w:szCs w:val="28"/>
              </w:rPr>
              <w:t xml:space="preserve"> и </w:t>
            </w:r>
            <w:r w:rsidR="004D7913">
              <w:rPr>
                <w:rFonts w:ascii="Times New Roman" w:eastAsia="Calibri" w:hAnsi="Times New Roman" w:cs="Times New Roman"/>
                <w:color w:val="000000"/>
                <w:kern w:val="24"/>
                <w:sz w:val="28"/>
                <w:szCs w:val="28"/>
              </w:rPr>
              <w:t xml:space="preserve">(или) </w:t>
            </w:r>
            <w:r>
              <w:rPr>
                <w:rFonts w:ascii="Times New Roman" w:eastAsia="Calibri" w:hAnsi="Times New Roman" w:cs="Times New Roman"/>
                <w:color w:val="000000"/>
                <w:kern w:val="24"/>
                <w:sz w:val="28"/>
                <w:szCs w:val="28"/>
              </w:rPr>
              <w:t>б</w:t>
            </w:r>
            <w:r w:rsidRPr="00964E91">
              <w:rPr>
                <w:rFonts w:ascii="Times New Roman" w:eastAsia="Calibri" w:hAnsi="Times New Roman" w:cs="Times New Roman"/>
                <w:color w:val="000000"/>
                <w:kern w:val="24"/>
                <w:sz w:val="28"/>
                <w:szCs w:val="28"/>
              </w:rPr>
              <w:t>умажная</w:t>
            </w:r>
          </w:p>
          <w:p w:rsidR="00993900" w:rsidRPr="00964E91" w:rsidRDefault="00993900" w:rsidP="00687EE0">
            <w:pPr>
              <w:ind w:firstLine="570"/>
              <w:jc w:val="both"/>
              <w:rPr>
                <w:rFonts w:ascii="Times New Roman" w:eastAsia="Calibri" w:hAnsi="Times New Roman" w:cs="Times New Roman"/>
                <w:color w:val="000000"/>
                <w:kern w:val="24"/>
                <w:sz w:val="28"/>
                <w:szCs w:val="28"/>
              </w:rPr>
            </w:pP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Результат оказания государственной услуги</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решение о включении в реестр таможенных перевозчиков, оформленное приказом руководителя либо лица, его замещающего, либо заместителя руководителя </w:t>
            </w:r>
            <w:proofErr w:type="spellStart"/>
            <w:r w:rsidRPr="00964E91">
              <w:rPr>
                <w:rFonts w:ascii="Times New Roman" w:eastAsia="Calibri" w:hAnsi="Times New Roman" w:cs="Times New Roman"/>
                <w:sz w:val="28"/>
                <w:szCs w:val="28"/>
              </w:rPr>
              <w:t>услугодателя</w:t>
            </w:r>
            <w:proofErr w:type="spellEnd"/>
            <w:r w:rsidRPr="00964E91">
              <w:rPr>
                <w:rFonts w:ascii="Times New Roman" w:eastAsia="Calibri" w:hAnsi="Times New Roman" w:cs="Times New Roman"/>
                <w:sz w:val="28"/>
                <w:szCs w:val="28"/>
              </w:rPr>
              <w:t xml:space="preserve">, с уведомлением, либо мотивированный ответ (уведомление) об отказе в оказании государственной услуги в случаях и по основаниям, указанным </w:t>
            </w:r>
            <w:r w:rsidR="004D7913">
              <w:rPr>
                <w:rFonts w:ascii="Times New Roman" w:eastAsia="Calibri" w:hAnsi="Times New Roman" w:cs="Times New Roman"/>
                <w:sz w:val="28"/>
                <w:szCs w:val="28"/>
              </w:rPr>
              <w:t>в пункте 9 настоящего приложение 1 к Правилам</w:t>
            </w:r>
            <w:r w:rsidRPr="00964E91">
              <w:rPr>
                <w:rFonts w:ascii="Times New Roman" w:eastAsia="Calibri" w:hAnsi="Times New Roman" w:cs="Times New Roman"/>
                <w:sz w:val="28"/>
                <w:szCs w:val="28"/>
              </w:rPr>
              <w:t>.</w:t>
            </w:r>
          </w:p>
          <w:p w:rsidR="00993900" w:rsidRPr="00964E91" w:rsidRDefault="00993900" w:rsidP="00EF277B">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Форма предоставления результата оказания государственной услуги: электронная или бумажная.</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 xml:space="preserve">Размер платы, взимаемой с </w:t>
            </w:r>
            <w:proofErr w:type="spellStart"/>
            <w:r w:rsidRPr="00964E91">
              <w:rPr>
                <w:rFonts w:ascii="Times New Roman" w:eastAsia="Calibri" w:hAnsi="Times New Roman" w:cs="Times New Roman"/>
                <w:bCs/>
                <w:sz w:val="28"/>
                <w:szCs w:val="28"/>
              </w:rPr>
              <w:lastRenderedPageBreak/>
              <w:t>услугополучателя</w:t>
            </w:r>
            <w:proofErr w:type="spellEnd"/>
            <w:r w:rsidRPr="00964E91">
              <w:rPr>
                <w:rFonts w:ascii="Times New Roman" w:eastAsia="Calibri" w:hAnsi="Times New Roman" w:cs="Times New Roman"/>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lastRenderedPageBreak/>
              <w:t>Государственная услуга предоставляется бесплатно</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7</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 xml:space="preserve">График работы </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1) </w:t>
            </w:r>
            <w:proofErr w:type="spellStart"/>
            <w:r w:rsidRPr="00964E91">
              <w:rPr>
                <w:rFonts w:ascii="Times New Roman" w:eastAsia="Calibri" w:hAnsi="Times New Roman" w:cs="Times New Roman"/>
                <w:sz w:val="28"/>
                <w:szCs w:val="28"/>
              </w:rPr>
              <w:t>услугодателя</w:t>
            </w:r>
            <w:proofErr w:type="spellEnd"/>
            <w:r w:rsidRPr="00964E91">
              <w:rPr>
                <w:rFonts w:ascii="Times New Roman" w:eastAsia="Calibri" w:hAnsi="Times New Roman" w:cs="Times New Roman"/>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Pr="00993900">
              <w:rPr>
                <w:rFonts w:ascii="Times New Roman" w:eastAsia="Calibri" w:hAnsi="Times New Roman" w:cs="Times New Roman"/>
                <w:sz w:val="28"/>
                <w:szCs w:val="28"/>
              </w:rPr>
              <w:t>Трудовому кодексу Республики Казахстан от 23 ноября 2015 года (далее – Трудовой кодекс РК)</w:t>
            </w:r>
            <w:r w:rsidRPr="00964E91">
              <w:rPr>
                <w:rFonts w:ascii="Times New Roman" w:eastAsia="Calibri" w:hAnsi="Times New Roman" w:cs="Times New Roman"/>
                <w:sz w:val="28"/>
                <w:szCs w:val="28"/>
              </w:rPr>
              <w:t xml:space="preserve">. </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Государственная услуга оказывается в порядке очереди, без предварительной записи и ускоренного обслуживания.</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964E91">
              <w:rPr>
                <w:rFonts w:ascii="Times New Roman" w:eastAsia="Calibri" w:hAnsi="Times New Roman" w:cs="Times New Roman"/>
                <w:sz w:val="28"/>
                <w:szCs w:val="28"/>
              </w:rPr>
              <w:t>услугополучателя</w:t>
            </w:r>
            <w:proofErr w:type="spellEnd"/>
            <w:r w:rsidRPr="00964E91">
              <w:rPr>
                <w:rFonts w:ascii="Times New Roman" w:eastAsia="Calibri" w:hAnsi="Times New Roman" w:cs="Times New Roman"/>
                <w:sz w:val="28"/>
                <w:szCs w:val="28"/>
              </w:rPr>
              <w:t xml:space="preserve"> после окончания рабочего времени, в выходные и праздничные дни согласно </w:t>
            </w:r>
            <w:r>
              <w:rPr>
                <w:rFonts w:ascii="Times New Roman" w:eastAsia="Calibri" w:hAnsi="Times New Roman" w:cs="Times New Roman"/>
                <w:sz w:val="28"/>
                <w:szCs w:val="28"/>
              </w:rPr>
              <w:t>Т</w:t>
            </w:r>
            <w:r w:rsidRPr="00964E91">
              <w:rPr>
                <w:rFonts w:ascii="Times New Roman" w:eastAsia="Calibri" w:hAnsi="Times New Roman" w:cs="Times New Roman"/>
                <w:sz w:val="28"/>
                <w:szCs w:val="28"/>
              </w:rPr>
              <w:t xml:space="preserve">рудовому </w:t>
            </w:r>
            <w:r>
              <w:rPr>
                <w:rFonts w:ascii="Times New Roman" w:eastAsia="Calibri" w:hAnsi="Times New Roman" w:cs="Times New Roman"/>
                <w:sz w:val="28"/>
                <w:szCs w:val="28"/>
              </w:rPr>
              <w:t>кодексу РК</w:t>
            </w:r>
            <w:r w:rsidRPr="00964E91">
              <w:rPr>
                <w:rFonts w:ascii="Times New Roman" w:eastAsia="Calibri" w:hAnsi="Times New Roman" w:cs="Times New Roman"/>
                <w:sz w:val="28"/>
                <w:szCs w:val="28"/>
              </w:rPr>
              <w:t>, прием заявления и выдача результата оказания государственной услуги осуществляется следующим рабочим днем).</w:t>
            </w:r>
          </w:p>
          <w:p w:rsidR="00993900" w:rsidRPr="00964E91" w:rsidRDefault="00993900" w:rsidP="00687EE0">
            <w:pPr>
              <w:ind w:firstLine="570"/>
              <w:jc w:val="both"/>
              <w:textAlignment w:val="baseline"/>
              <w:rPr>
                <w:rFonts w:ascii="Times New Roman" w:hAnsi="Times New Roman" w:cs="Times New Roman"/>
                <w:sz w:val="28"/>
                <w:szCs w:val="28"/>
              </w:rPr>
            </w:pPr>
            <w:r w:rsidRPr="00964E91">
              <w:rPr>
                <w:rFonts w:ascii="Times New Roman" w:hAnsi="Times New Roman" w:cs="Times New Roman"/>
                <w:color w:val="000000"/>
                <w:spacing w:val="2"/>
                <w:kern w:val="24"/>
                <w:sz w:val="28"/>
                <w:szCs w:val="28"/>
              </w:rPr>
              <w:t>Адреса мест оказания государственной услуги размещены на</w:t>
            </w:r>
            <w:r w:rsidR="004D7913">
              <w:rPr>
                <w:rFonts w:ascii="Times New Roman" w:hAnsi="Times New Roman" w:cs="Times New Roman"/>
                <w:color w:val="000000"/>
                <w:spacing w:val="2"/>
                <w:kern w:val="24"/>
                <w:sz w:val="28"/>
                <w:szCs w:val="28"/>
              </w:rPr>
              <w:t xml:space="preserve"> </w:t>
            </w:r>
            <w:proofErr w:type="spellStart"/>
            <w:r w:rsidR="004D7913" w:rsidRPr="00964E91">
              <w:rPr>
                <w:rFonts w:ascii="Times New Roman" w:hAnsi="Times New Roman" w:cs="Times New Roman"/>
                <w:color w:val="000000"/>
                <w:spacing w:val="2"/>
                <w:kern w:val="24"/>
                <w:sz w:val="28"/>
                <w:szCs w:val="28"/>
              </w:rPr>
              <w:t>интернет-ресурсе</w:t>
            </w:r>
            <w:proofErr w:type="spellEnd"/>
            <w:r w:rsidRPr="00964E91">
              <w:rPr>
                <w:rFonts w:ascii="Times New Roman" w:hAnsi="Times New Roman" w:cs="Times New Roman"/>
                <w:color w:val="000000"/>
                <w:spacing w:val="2"/>
                <w:kern w:val="24"/>
                <w:sz w:val="28"/>
                <w:szCs w:val="28"/>
              </w:rPr>
              <w:t>:</w:t>
            </w:r>
          </w:p>
          <w:p w:rsidR="004D7913" w:rsidRPr="001C4465" w:rsidRDefault="00993900" w:rsidP="00687EE0">
            <w:pPr>
              <w:pStyle w:val="a9"/>
              <w:spacing w:before="0" w:beforeAutospacing="0" w:after="0" w:afterAutospacing="0"/>
              <w:ind w:left="34" w:firstLine="570"/>
              <w:jc w:val="both"/>
              <w:textAlignment w:val="baseline"/>
              <w:rPr>
                <w:sz w:val="28"/>
                <w:szCs w:val="28"/>
              </w:rPr>
            </w:pPr>
            <w:r w:rsidRPr="00964E91">
              <w:rPr>
                <w:color w:val="000000"/>
                <w:spacing w:val="2"/>
                <w:kern w:val="24"/>
                <w:sz w:val="28"/>
                <w:szCs w:val="28"/>
              </w:rPr>
              <w:t>1</w:t>
            </w:r>
            <w:r w:rsidR="004D7913" w:rsidRPr="001C4465">
              <w:rPr>
                <w:color w:val="000000"/>
                <w:spacing w:val="2"/>
                <w:kern w:val="24"/>
                <w:sz w:val="28"/>
                <w:szCs w:val="28"/>
              </w:rPr>
              <w:t xml:space="preserve">) </w:t>
            </w:r>
            <w:proofErr w:type="spellStart"/>
            <w:r w:rsidR="004D7913" w:rsidRPr="001C4465">
              <w:rPr>
                <w:color w:val="000000"/>
                <w:spacing w:val="2"/>
                <w:kern w:val="24"/>
                <w:sz w:val="28"/>
                <w:szCs w:val="28"/>
              </w:rPr>
              <w:t>услугодателя</w:t>
            </w:r>
            <w:proofErr w:type="spellEnd"/>
            <w:r w:rsidR="004D7913">
              <w:rPr>
                <w:color w:val="000000"/>
                <w:spacing w:val="2"/>
                <w:kern w:val="24"/>
                <w:sz w:val="28"/>
                <w:szCs w:val="28"/>
              </w:rPr>
              <w:t xml:space="preserve"> </w:t>
            </w:r>
            <w:r w:rsidR="004D7913" w:rsidRPr="001C4465">
              <w:rPr>
                <w:sz w:val="28"/>
                <w:szCs w:val="28"/>
              </w:rPr>
              <w:t>www.kgd.gov.kz</w:t>
            </w:r>
            <w:r w:rsidR="004D7913" w:rsidRPr="001C4465">
              <w:rPr>
                <w:color w:val="000000"/>
                <w:spacing w:val="2"/>
                <w:kern w:val="24"/>
                <w:sz w:val="28"/>
                <w:szCs w:val="28"/>
              </w:rPr>
              <w:t>;</w:t>
            </w:r>
          </w:p>
          <w:p w:rsidR="00993900" w:rsidRPr="00964E91" w:rsidRDefault="004D7913" w:rsidP="00687EE0">
            <w:pPr>
              <w:pStyle w:val="a9"/>
              <w:spacing w:before="0" w:beforeAutospacing="0" w:after="0" w:afterAutospacing="0"/>
              <w:ind w:left="34" w:firstLine="570"/>
              <w:jc w:val="both"/>
              <w:textAlignment w:val="baseline"/>
              <w:rPr>
                <w:rFonts w:eastAsia="Calibri"/>
                <w:bCs/>
                <w:sz w:val="28"/>
                <w:szCs w:val="28"/>
              </w:rPr>
            </w:pPr>
            <w:r w:rsidRPr="001C4465">
              <w:rPr>
                <w:color w:val="000000"/>
                <w:spacing w:val="2"/>
                <w:kern w:val="24"/>
                <w:sz w:val="28"/>
                <w:szCs w:val="28"/>
              </w:rPr>
              <w:t>2) портал</w:t>
            </w:r>
            <w:r>
              <w:rPr>
                <w:color w:val="000000"/>
                <w:spacing w:val="2"/>
                <w:kern w:val="24"/>
                <w:sz w:val="28"/>
                <w:szCs w:val="28"/>
                <w:lang w:val="kk-KZ"/>
              </w:rPr>
              <w:t>а</w:t>
            </w:r>
            <w:r w:rsidRPr="001C4465">
              <w:rPr>
                <w:color w:val="000000"/>
                <w:spacing w:val="2"/>
                <w:kern w:val="24"/>
                <w:sz w:val="28"/>
                <w:szCs w:val="28"/>
              </w:rPr>
              <w:t xml:space="preserve"> www.egov.kz.</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Перечень документов, необходимых для оказания государственной услуги</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при обращении </w:t>
            </w:r>
            <w:proofErr w:type="spellStart"/>
            <w:r w:rsidRPr="00964E91">
              <w:rPr>
                <w:rFonts w:ascii="Times New Roman" w:eastAsia="Calibri" w:hAnsi="Times New Roman" w:cs="Times New Roman"/>
                <w:sz w:val="28"/>
                <w:szCs w:val="28"/>
              </w:rPr>
              <w:t>услугополучателя</w:t>
            </w:r>
            <w:proofErr w:type="spellEnd"/>
            <w:r w:rsidRPr="00964E91">
              <w:rPr>
                <w:rFonts w:ascii="Times New Roman" w:eastAsia="Calibri" w:hAnsi="Times New Roman" w:cs="Times New Roman"/>
                <w:sz w:val="28"/>
                <w:szCs w:val="28"/>
              </w:rPr>
              <w:t>:</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к </w:t>
            </w:r>
            <w:proofErr w:type="spellStart"/>
            <w:r w:rsidRPr="00964E91">
              <w:rPr>
                <w:rFonts w:ascii="Times New Roman" w:eastAsia="Calibri" w:hAnsi="Times New Roman" w:cs="Times New Roman"/>
                <w:sz w:val="28"/>
                <w:szCs w:val="28"/>
              </w:rPr>
              <w:t>услугодателю</w:t>
            </w:r>
            <w:proofErr w:type="spellEnd"/>
            <w:r w:rsidRPr="00964E91">
              <w:rPr>
                <w:rFonts w:ascii="Times New Roman" w:eastAsia="Calibri" w:hAnsi="Times New Roman" w:cs="Times New Roman"/>
                <w:sz w:val="28"/>
                <w:szCs w:val="28"/>
              </w:rPr>
              <w:t>:</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1)</w:t>
            </w:r>
            <w:r w:rsidRPr="00964E91">
              <w:rPr>
                <w:rFonts w:ascii="Times New Roman" w:eastAsia="Calibri" w:hAnsi="Times New Roman" w:cs="Times New Roman"/>
                <w:sz w:val="28"/>
                <w:szCs w:val="28"/>
              </w:rPr>
              <w:tab/>
              <w:t xml:space="preserve">заявление о включении в реестр таможенных перевозчиков, согласно приложению </w:t>
            </w:r>
            <w:r w:rsidR="004D7913">
              <w:rPr>
                <w:rFonts w:ascii="Times New Roman" w:eastAsia="Calibri" w:hAnsi="Times New Roman" w:cs="Times New Roman"/>
                <w:sz w:val="28"/>
                <w:szCs w:val="28"/>
              </w:rPr>
              <w:t>2 к настоящи</w:t>
            </w:r>
            <w:r w:rsidRPr="00964E91">
              <w:rPr>
                <w:rFonts w:ascii="Times New Roman" w:eastAsia="Calibri" w:hAnsi="Times New Roman" w:cs="Times New Roman"/>
                <w:sz w:val="28"/>
                <w:szCs w:val="28"/>
              </w:rPr>
              <w:t>м</w:t>
            </w:r>
            <w:r w:rsidR="004D7913">
              <w:rPr>
                <w:rFonts w:ascii="Times New Roman" w:eastAsia="Calibri" w:hAnsi="Times New Roman" w:cs="Times New Roman"/>
                <w:sz w:val="28"/>
                <w:szCs w:val="28"/>
              </w:rPr>
              <w:t xml:space="preserve"> Правилам</w:t>
            </w:r>
            <w:r w:rsidRPr="00964E91">
              <w:rPr>
                <w:rFonts w:ascii="Times New Roman" w:eastAsia="Calibri" w:hAnsi="Times New Roman" w:cs="Times New Roman"/>
                <w:sz w:val="28"/>
                <w:szCs w:val="28"/>
              </w:rPr>
              <w:t>;</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2) сведения о регистрации обеспечения исполнения обязанностей юридического лица, осуществляющего деятельность в сфере таможенного дела;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3) нотариально засвидетельствованные копии документов, подтверждающих нахождение в собственности, хозяйственном ведении, оперативном управлении или аренде </w:t>
            </w:r>
            <w:r w:rsidRPr="00964E91">
              <w:rPr>
                <w:rFonts w:ascii="Times New Roman" w:eastAsia="Calibri" w:hAnsi="Times New Roman" w:cs="Times New Roman"/>
                <w:sz w:val="28"/>
                <w:szCs w:val="28"/>
              </w:rPr>
              <w:lastRenderedPageBreak/>
              <w:t>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которые предполагается использовать при осуществлении деятельности в качестве таможенного перевозчика;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4) копии свидетельств о допущении транспортных средств международной перевозки для перевозки товаров под таможенными пломбами и печатями;</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5) копия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через портал:</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1)</w:t>
            </w:r>
            <w:r w:rsidRPr="00964E91">
              <w:rPr>
                <w:rFonts w:ascii="Times New Roman" w:eastAsia="Calibri" w:hAnsi="Times New Roman" w:cs="Times New Roman"/>
                <w:sz w:val="28"/>
                <w:szCs w:val="28"/>
              </w:rPr>
              <w:tab/>
              <w:t>заявление в форме электронного документа, подписанное ЭЦП;</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2)</w:t>
            </w:r>
            <w:r w:rsidRPr="00964E91">
              <w:rPr>
                <w:rFonts w:ascii="Times New Roman" w:eastAsia="Calibri" w:hAnsi="Times New Roman" w:cs="Times New Roman"/>
                <w:sz w:val="28"/>
                <w:szCs w:val="28"/>
              </w:rPr>
              <w:tab/>
              <w:t xml:space="preserve">электронная сведения о регистрации обеспечения исполнения обязанностей юридического лица, осуществляющего деятельность в сфере таможенного дела; </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3) электронная копия нотариально засвидетельствованных копии документов, подтверждающих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которые предполагается использовать при осуществлении деятельности в качестве таможенного перевозчика;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4) электронная копия свидетельства о допущении транспортных средств международной перевозки для перевозки товаров под таможенными пломбами и печатями;</w:t>
            </w:r>
          </w:p>
          <w:p w:rsidR="004D7913" w:rsidRPr="00964E91" w:rsidRDefault="00993900" w:rsidP="00EF277B">
            <w:pPr>
              <w:shd w:val="clear" w:color="auto" w:fill="FFFFFF"/>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 xml:space="preserve">5) электронная копия разрешительного </w:t>
            </w:r>
            <w:r w:rsidRPr="00964E91">
              <w:rPr>
                <w:rFonts w:ascii="Times New Roman" w:eastAsia="Calibri" w:hAnsi="Times New Roman" w:cs="Times New Roman"/>
                <w:sz w:val="28"/>
                <w:szCs w:val="28"/>
              </w:rPr>
              <w:lastRenderedPageBreak/>
              <w:t>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9</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Основания для отказа в оказании государственной услуги, установленные законами Республики Казахстан</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1) несоответствие </w:t>
            </w:r>
            <w:proofErr w:type="spellStart"/>
            <w:r w:rsidRPr="00964E91">
              <w:rPr>
                <w:rFonts w:ascii="Times New Roman" w:eastAsia="Calibri" w:hAnsi="Times New Roman" w:cs="Times New Roman"/>
                <w:sz w:val="28"/>
                <w:szCs w:val="28"/>
              </w:rPr>
              <w:t>услугополучателя</w:t>
            </w:r>
            <w:proofErr w:type="spellEnd"/>
            <w:r w:rsidRPr="00964E91">
              <w:rPr>
                <w:rFonts w:ascii="Times New Roman" w:eastAsia="Calibri" w:hAnsi="Times New Roman" w:cs="Times New Roman"/>
                <w:sz w:val="28"/>
                <w:szCs w:val="28"/>
              </w:rPr>
              <w:t xml:space="preserve"> следующим требованиям п</w:t>
            </w:r>
            <w:r w:rsidR="004D7913">
              <w:rPr>
                <w:rFonts w:ascii="Times New Roman" w:eastAsia="Calibri" w:hAnsi="Times New Roman" w:cs="Times New Roman"/>
                <w:sz w:val="28"/>
                <w:szCs w:val="28"/>
              </w:rPr>
              <w:t xml:space="preserve">ункта </w:t>
            </w:r>
            <w:r w:rsidRPr="00964E91">
              <w:rPr>
                <w:rFonts w:ascii="Times New Roman" w:eastAsia="Calibri" w:hAnsi="Times New Roman" w:cs="Times New Roman"/>
                <w:sz w:val="28"/>
                <w:szCs w:val="28"/>
              </w:rPr>
              <w:t xml:space="preserve">1 статьи </w:t>
            </w:r>
            <w:r>
              <w:rPr>
                <w:rFonts w:ascii="Times New Roman" w:eastAsia="Calibri" w:hAnsi="Times New Roman" w:cs="Times New Roman"/>
                <w:sz w:val="28"/>
                <w:szCs w:val="28"/>
              </w:rPr>
              <w:br/>
            </w:r>
            <w:r w:rsidRPr="00964E91">
              <w:rPr>
                <w:rFonts w:ascii="Times New Roman" w:eastAsia="Calibri" w:hAnsi="Times New Roman" w:cs="Times New Roman"/>
                <w:sz w:val="28"/>
                <w:szCs w:val="28"/>
              </w:rPr>
              <w:t>496 Таможенного кодекса: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осуществление этим лицом деятельности по перевозке грузов в течение не менее двух лет на дату обращения в орган государственных доходов;</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предоставление обеспечения уплаты таможенных пошлин, налогов на сумму, эквивалентную не менее чем двумстам тысячам евро, с применением рыночного курса валюты в соответствии с налоговым законодательством Республики Казахстан на день внесения такого обеспечения;</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отсутствие на день обращения в орган государственных доходов неисполненной обязанности по уплате таможенных платежей, налогов и пеней;</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отсутствие фактов привлечения </w:t>
            </w:r>
            <w:proofErr w:type="gramStart"/>
            <w:r w:rsidRPr="00964E91">
              <w:rPr>
                <w:rFonts w:ascii="Times New Roman" w:eastAsia="Calibri" w:hAnsi="Times New Roman" w:cs="Times New Roman"/>
                <w:sz w:val="28"/>
                <w:szCs w:val="28"/>
              </w:rPr>
              <w:t>в течение одного года до дня обращения в орган государственных доходов к административной ответственности в соответствии</w:t>
            </w:r>
            <w:proofErr w:type="gramEnd"/>
            <w:r w:rsidRPr="00964E91">
              <w:rPr>
                <w:rFonts w:ascii="Times New Roman" w:eastAsia="Calibri" w:hAnsi="Times New Roman" w:cs="Times New Roman"/>
                <w:sz w:val="28"/>
                <w:szCs w:val="28"/>
              </w:rPr>
              <w:t xml:space="preserve"> со статьями 521 – 530, 532 – 534, 538, 539, 549–551, 555, 558 Кодекса Республики Казахстан об административных правонарушениях;</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наличие технического оборудования на </w:t>
            </w:r>
            <w:r w:rsidRPr="00964E91">
              <w:rPr>
                <w:rFonts w:ascii="Times New Roman" w:eastAsia="Calibri" w:hAnsi="Times New Roman" w:cs="Times New Roman"/>
                <w:sz w:val="28"/>
                <w:szCs w:val="28"/>
              </w:rPr>
              <w:lastRenderedPageBreak/>
              <w:t>каждом транспортном средстве, позволяющего органу государственных доходов определять местонахождение данного транспортного средства путем передачи сигнала;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наличие договора (соглашения) о пользовании информационной системой электронных счетов фактур;</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 xml:space="preserve">2) непредставление всех документов, указанных в пункте 8 настоящего </w:t>
            </w:r>
            <w:r w:rsidR="004D7913">
              <w:rPr>
                <w:rFonts w:ascii="Times New Roman" w:eastAsia="Calibri" w:hAnsi="Times New Roman" w:cs="Times New Roman"/>
                <w:sz w:val="28"/>
                <w:szCs w:val="28"/>
              </w:rPr>
              <w:t>приложение 1 к Правилам</w:t>
            </w:r>
            <w:r w:rsidRPr="00964E91">
              <w:rPr>
                <w:rFonts w:ascii="Times New Roman" w:eastAsia="Calibri" w:hAnsi="Times New Roman" w:cs="Times New Roman"/>
                <w:sz w:val="28"/>
                <w:szCs w:val="28"/>
              </w:rPr>
              <w:t>.</w:t>
            </w:r>
          </w:p>
        </w:tc>
      </w:tr>
      <w:tr w:rsidR="00993900" w:rsidRPr="00964E91" w:rsidTr="00993900">
        <w:tc>
          <w:tcPr>
            <w:tcW w:w="817" w:type="dxa"/>
          </w:tcPr>
          <w:p w:rsidR="00993900" w:rsidRPr="00964E91" w:rsidRDefault="00993900" w:rsidP="0063678F">
            <w:pPr>
              <w:overflowPunct w:val="0"/>
              <w:autoSpaceDE w:val="0"/>
              <w:autoSpaceDN w:val="0"/>
              <w:adjustRightInd w:val="0"/>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p>
        </w:tc>
        <w:tc>
          <w:tcPr>
            <w:tcW w:w="3008" w:type="dxa"/>
          </w:tcPr>
          <w:p w:rsidR="00993900" w:rsidRPr="00964E91" w:rsidRDefault="00993900" w:rsidP="0063678F">
            <w:pPr>
              <w:overflowPunct w:val="0"/>
              <w:autoSpaceDE w:val="0"/>
              <w:autoSpaceDN w:val="0"/>
              <w:adjustRightInd w:val="0"/>
              <w:ind w:firstLine="142"/>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Иные требования с учетом особенностей оказания</w:t>
            </w:r>
          </w:p>
          <w:p w:rsidR="00993900" w:rsidRPr="00964E91" w:rsidRDefault="00993900" w:rsidP="0063678F">
            <w:pPr>
              <w:overflowPunct w:val="0"/>
              <w:autoSpaceDE w:val="0"/>
              <w:autoSpaceDN w:val="0"/>
              <w:adjustRightInd w:val="0"/>
              <w:ind w:firstLine="142"/>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государственной услуги</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proofErr w:type="spellStart"/>
            <w:r w:rsidRPr="00964E91">
              <w:rPr>
                <w:rFonts w:ascii="Times New Roman" w:eastAsia="Calibri" w:hAnsi="Times New Roman" w:cs="Times New Roman"/>
                <w:sz w:val="28"/>
                <w:szCs w:val="28"/>
              </w:rPr>
              <w:t>Услугополучатель</w:t>
            </w:r>
            <w:proofErr w:type="spellEnd"/>
            <w:r w:rsidRPr="00964E91">
              <w:rPr>
                <w:rFonts w:ascii="Times New Roman" w:eastAsia="Calibri" w:hAnsi="Times New Roman" w:cs="Times New Roman"/>
                <w:sz w:val="28"/>
                <w:szCs w:val="28"/>
              </w:rPr>
              <w:t xml:space="preserve"> имеет возможность получения государственной услуги в электронной форме через портал при условии наличия ЭЦП.</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proofErr w:type="spellStart"/>
            <w:r w:rsidRPr="00964E91">
              <w:rPr>
                <w:rFonts w:ascii="Times New Roman" w:eastAsia="Calibri" w:hAnsi="Times New Roman" w:cs="Times New Roman"/>
                <w:sz w:val="28"/>
                <w:szCs w:val="28"/>
              </w:rPr>
              <w:t>Услугополучатель</w:t>
            </w:r>
            <w:proofErr w:type="spellEnd"/>
            <w:r w:rsidRPr="00964E91">
              <w:rPr>
                <w:rFonts w:ascii="Times New Roman" w:eastAsia="Calibri" w:hAnsi="Times New Roman" w:cs="Times New Roman"/>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964E91">
              <w:rPr>
                <w:rFonts w:ascii="Times New Roman" w:eastAsia="Calibri" w:hAnsi="Times New Roman" w:cs="Times New Roman"/>
                <w:sz w:val="28"/>
                <w:szCs w:val="28"/>
              </w:rPr>
              <w:t>контакт-центра</w:t>
            </w:r>
            <w:proofErr w:type="gramEnd"/>
            <w:r w:rsidRPr="00964E91">
              <w:rPr>
                <w:rFonts w:ascii="Times New Roman" w:eastAsia="Calibri" w:hAnsi="Times New Roman" w:cs="Times New Roman"/>
                <w:sz w:val="28"/>
                <w:szCs w:val="28"/>
              </w:rPr>
              <w:t xml:space="preserve"> </w:t>
            </w:r>
            <w:r w:rsidRPr="00964E91">
              <w:rPr>
                <w:rFonts w:ascii="Times New Roman" w:hAnsi="Times New Roman" w:cs="Times New Roman"/>
                <w:sz w:val="28"/>
                <w:szCs w:val="28"/>
              </w:rPr>
              <w:t xml:space="preserve">центр 1414, </w:t>
            </w:r>
            <w:r w:rsidR="00B4165A">
              <w:rPr>
                <w:rFonts w:ascii="Times New Roman" w:hAnsi="Times New Roman" w:cs="Times New Roman"/>
                <w:sz w:val="28"/>
                <w:szCs w:val="28"/>
              </w:rPr>
              <w:br/>
            </w:r>
            <w:r w:rsidRPr="00964E91">
              <w:rPr>
                <w:rFonts w:ascii="Times New Roman" w:hAnsi="Times New Roman" w:cs="Times New Roman"/>
                <w:sz w:val="28"/>
                <w:szCs w:val="28"/>
              </w:rPr>
              <w:t>8 800 080 777</w:t>
            </w:r>
            <w:r w:rsidRPr="00964E91">
              <w:rPr>
                <w:rFonts w:ascii="Times New Roman" w:eastAsia="Calibri" w:hAnsi="Times New Roman" w:cs="Times New Roman"/>
                <w:sz w:val="28"/>
                <w:szCs w:val="28"/>
              </w:rPr>
              <w:t>.</w:t>
            </w:r>
          </w:p>
        </w:tc>
      </w:tr>
    </w:tbl>
    <w:p w:rsidR="00A92FCD" w:rsidRPr="00964E91" w:rsidRDefault="00A92FCD" w:rsidP="00A92FCD">
      <w:pPr>
        <w:overflowPunct w:val="0"/>
        <w:autoSpaceDE w:val="0"/>
        <w:autoSpaceDN w:val="0"/>
        <w:adjustRightInd w:val="0"/>
        <w:spacing w:after="0" w:line="240" w:lineRule="auto"/>
        <w:ind w:left="4536" w:right="-2"/>
        <w:jc w:val="both"/>
        <w:textAlignment w:val="center"/>
        <w:rPr>
          <w:rFonts w:ascii="Times New Roman" w:eastAsia="Calibri" w:hAnsi="Times New Roman" w:cs="Times New Roman"/>
          <w:sz w:val="28"/>
          <w:szCs w:val="28"/>
          <w:lang w:eastAsia="ru-RU"/>
        </w:rPr>
      </w:pPr>
    </w:p>
    <w:p w:rsidR="0063678F" w:rsidRPr="00964E91" w:rsidRDefault="0063678F" w:rsidP="0063678F">
      <w:pPr>
        <w:spacing w:after="0" w:line="240" w:lineRule="auto"/>
        <w:rPr>
          <w:rFonts w:ascii="Times New Roman" w:hAnsi="Times New Roman" w:cs="Times New Roman"/>
          <w:sz w:val="28"/>
          <w:szCs w:val="28"/>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bookmarkStart w:id="0" w:name="_GoBack"/>
      <w:bookmarkEnd w:id="0"/>
    </w:p>
    <w:sectPr w:rsidR="00EF277B" w:rsidSect="003F70AC">
      <w:headerReference w:type="default" r:id="rId8"/>
      <w:footerReference w:type="default" r:id="rId9"/>
      <w:footerReference w:type="first" r:id="rId10"/>
      <w:pgSz w:w="11906" w:h="16838"/>
      <w:pgMar w:top="1418" w:right="851" w:bottom="1418" w:left="1418" w:header="709" w:footer="709" w:gutter="0"/>
      <w:pgNumType w:start="3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67" w:rsidRDefault="00314967" w:rsidP="00D15DA0">
      <w:pPr>
        <w:spacing w:after="0" w:line="240" w:lineRule="auto"/>
      </w:pPr>
      <w:r>
        <w:separator/>
      </w:r>
    </w:p>
  </w:endnote>
  <w:endnote w:type="continuationSeparator" w:id="0">
    <w:p w:rsidR="00314967" w:rsidRDefault="00314967" w:rsidP="00D1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E9" w:rsidRDefault="003620E9">
    <w:pP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E9" w:rsidRDefault="003620E9">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67" w:rsidRDefault="00314967" w:rsidP="00D15DA0">
      <w:pPr>
        <w:spacing w:after="0" w:line="240" w:lineRule="auto"/>
      </w:pPr>
      <w:r>
        <w:separator/>
      </w:r>
    </w:p>
  </w:footnote>
  <w:footnote w:type="continuationSeparator" w:id="0">
    <w:p w:rsidR="00314967" w:rsidRDefault="00314967" w:rsidP="00D15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89320"/>
      <w:docPartObj>
        <w:docPartGallery w:val="Page Numbers (Top of Page)"/>
        <w:docPartUnique/>
      </w:docPartObj>
    </w:sdtPr>
    <w:sdtEndPr>
      <w:rPr>
        <w:rFonts w:ascii="Times New Roman" w:hAnsi="Times New Roman" w:cs="Times New Roman"/>
        <w:sz w:val="28"/>
        <w:szCs w:val="28"/>
      </w:rPr>
    </w:sdtEndPr>
    <w:sdtContent>
      <w:p w:rsidR="00D15DA0" w:rsidRPr="00D15DA0" w:rsidRDefault="00D15DA0">
        <w:pPr>
          <w:pStyle w:val="a5"/>
          <w:jc w:val="center"/>
          <w:rPr>
            <w:rFonts w:ascii="Times New Roman" w:hAnsi="Times New Roman" w:cs="Times New Roman"/>
            <w:sz w:val="28"/>
            <w:szCs w:val="28"/>
          </w:rPr>
        </w:pPr>
        <w:r w:rsidRPr="00D15DA0">
          <w:rPr>
            <w:rFonts w:ascii="Times New Roman" w:hAnsi="Times New Roman" w:cs="Times New Roman"/>
            <w:sz w:val="28"/>
            <w:szCs w:val="28"/>
          </w:rPr>
          <w:fldChar w:fldCharType="begin"/>
        </w:r>
        <w:r w:rsidRPr="00D15DA0">
          <w:rPr>
            <w:rFonts w:ascii="Times New Roman" w:hAnsi="Times New Roman" w:cs="Times New Roman"/>
            <w:sz w:val="28"/>
            <w:szCs w:val="28"/>
          </w:rPr>
          <w:instrText>PAGE   \* MERGEFORMAT</w:instrText>
        </w:r>
        <w:r w:rsidRPr="00D15DA0">
          <w:rPr>
            <w:rFonts w:ascii="Times New Roman" w:hAnsi="Times New Roman" w:cs="Times New Roman"/>
            <w:sz w:val="28"/>
            <w:szCs w:val="28"/>
          </w:rPr>
          <w:fldChar w:fldCharType="separate"/>
        </w:r>
        <w:r w:rsidR="00CD1B93">
          <w:rPr>
            <w:rFonts w:ascii="Times New Roman" w:hAnsi="Times New Roman" w:cs="Times New Roman"/>
            <w:noProof/>
            <w:sz w:val="28"/>
            <w:szCs w:val="28"/>
          </w:rPr>
          <w:t>320</w:t>
        </w:r>
        <w:r w:rsidRPr="00D15DA0">
          <w:rPr>
            <w:rFonts w:ascii="Times New Roman" w:hAnsi="Times New Roman" w:cs="Times New Roman"/>
            <w:sz w:val="28"/>
            <w:szCs w:val="28"/>
          </w:rPr>
          <w:fldChar w:fldCharType="end"/>
        </w:r>
      </w:p>
    </w:sdtContent>
  </w:sdt>
  <w:p w:rsidR="00D15DA0" w:rsidRDefault="00D15D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416B86"/>
    <w:multiLevelType w:val="hybridMultilevel"/>
    <w:tmpl w:val="7960C488"/>
    <w:lvl w:ilvl="0" w:tplc="E564B15C">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F1"/>
    <w:rsid w:val="00152674"/>
    <w:rsid w:val="00161068"/>
    <w:rsid w:val="00161A1D"/>
    <w:rsid w:val="00161E77"/>
    <w:rsid w:val="001821C8"/>
    <w:rsid w:val="00197FBC"/>
    <w:rsid w:val="001A4B78"/>
    <w:rsid w:val="001A78C5"/>
    <w:rsid w:val="001F13F1"/>
    <w:rsid w:val="001F7DB8"/>
    <w:rsid w:val="00254FC5"/>
    <w:rsid w:val="002845E0"/>
    <w:rsid w:val="002B7876"/>
    <w:rsid w:val="002D6387"/>
    <w:rsid w:val="002E1384"/>
    <w:rsid w:val="00303582"/>
    <w:rsid w:val="00314967"/>
    <w:rsid w:val="0032270A"/>
    <w:rsid w:val="00353E07"/>
    <w:rsid w:val="003620E9"/>
    <w:rsid w:val="003F70AC"/>
    <w:rsid w:val="00472D93"/>
    <w:rsid w:val="004D6456"/>
    <w:rsid w:val="004D7913"/>
    <w:rsid w:val="004F146D"/>
    <w:rsid w:val="00553429"/>
    <w:rsid w:val="0055615F"/>
    <w:rsid w:val="0055667F"/>
    <w:rsid w:val="00584EA0"/>
    <w:rsid w:val="005A0773"/>
    <w:rsid w:val="005B208A"/>
    <w:rsid w:val="005F65D7"/>
    <w:rsid w:val="0063678F"/>
    <w:rsid w:val="00670BEB"/>
    <w:rsid w:val="00687EE0"/>
    <w:rsid w:val="006B04A3"/>
    <w:rsid w:val="006B5FE2"/>
    <w:rsid w:val="00722522"/>
    <w:rsid w:val="00732CD8"/>
    <w:rsid w:val="007660B7"/>
    <w:rsid w:val="007C4D12"/>
    <w:rsid w:val="00827434"/>
    <w:rsid w:val="00854821"/>
    <w:rsid w:val="008A3813"/>
    <w:rsid w:val="00905CA1"/>
    <w:rsid w:val="00964E91"/>
    <w:rsid w:val="00993900"/>
    <w:rsid w:val="00A251C7"/>
    <w:rsid w:val="00A92FCD"/>
    <w:rsid w:val="00B14B2B"/>
    <w:rsid w:val="00B4165A"/>
    <w:rsid w:val="00B97B0F"/>
    <w:rsid w:val="00BB1E3C"/>
    <w:rsid w:val="00BC145C"/>
    <w:rsid w:val="00CD1B93"/>
    <w:rsid w:val="00D15DA0"/>
    <w:rsid w:val="00D164CF"/>
    <w:rsid w:val="00D37A17"/>
    <w:rsid w:val="00D82E42"/>
    <w:rsid w:val="00DF1D81"/>
    <w:rsid w:val="00E25214"/>
    <w:rsid w:val="00E435AE"/>
    <w:rsid w:val="00E9593B"/>
    <w:rsid w:val="00EB1568"/>
    <w:rsid w:val="00EB6AC6"/>
    <w:rsid w:val="00EE48A5"/>
    <w:rsid w:val="00EF277B"/>
    <w:rsid w:val="00F14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92FC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4EA0"/>
    <w:pPr>
      <w:overflowPunct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5">
    <w:name w:val="header"/>
    <w:basedOn w:val="a"/>
    <w:link w:val="a6"/>
    <w:uiPriority w:val="99"/>
    <w:unhideWhenUsed/>
    <w:rsid w:val="00D15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5DA0"/>
  </w:style>
  <w:style w:type="paragraph" w:styleId="a7">
    <w:name w:val="footer"/>
    <w:basedOn w:val="a"/>
    <w:link w:val="a8"/>
    <w:uiPriority w:val="99"/>
    <w:unhideWhenUsed/>
    <w:rsid w:val="00D15D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5DA0"/>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a"/>
    <w:uiPriority w:val="99"/>
    <w:unhideWhenUsed/>
    <w:qFormat/>
    <w:rsid w:val="004D7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9"/>
    <w:uiPriority w:val="99"/>
    <w:locked/>
    <w:rsid w:val="004D791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B5F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B5F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92FC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4EA0"/>
    <w:pPr>
      <w:overflowPunct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5">
    <w:name w:val="header"/>
    <w:basedOn w:val="a"/>
    <w:link w:val="a6"/>
    <w:uiPriority w:val="99"/>
    <w:unhideWhenUsed/>
    <w:rsid w:val="00D15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5DA0"/>
  </w:style>
  <w:style w:type="paragraph" w:styleId="a7">
    <w:name w:val="footer"/>
    <w:basedOn w:val="a"/>
    <w:link w:val="a8"/>
    <w:uiPriority w:val="99"/>
    <w:unhideWhenUsed/>
    <w:rsid w:val="00D15D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5DA0"/>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a"/>
    <w:uiPriority w:val="99"/>
    <w:unhideWhenUsed/>
    <w:qFormat/>
    <w:rsid w:val="004D7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9"/>
    <w:uiPriority w:val="99"/>
    <w:locked/>
    <w:rsid w:val="004D791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B5F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B5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238">
      <w:bodyDiv w:val="1"/>
      <w:marLeft w:val="0"/>
      <w:marRight w:val="0"/>
      <w:marTop w:val="0"/>
      <w:marBottom w:val="0"/>
      <w:divBdr>
        <w:top w:val="none" w:sz="0" w:space="0" w:color="auto"/>
        <w:left w:val="none" w:sz="0" w:space="0" w:color="auto"/>
        <w:bottom w:val="none" w:sz="0" w:space="0" w:color="auto"/>
        <w:right w:val="none" w:sz="0" w:space="0" w:color="auto"/>
      </w:divBdr>
    </w:div>
    <w:div w:id="934096002">
      <w:bodyDiv w:val="1"/>
      <w:marLeft w:val="0"/>
      <w:marRight w:val="0"/>
      <w:marTop w:val="0"/>
      <w:marBottom w:val="0"/>
      <w:divBdr>
        <w:top w:val="none" w:sz="0" w:space="0" w:color="auto"/>
        <w:left w:val="none" w:sz="0" w:space="0" w:color="auto"/>
        <w:bottom w:val="none" w:sz="0" w:space="0" w:color="auto"/>
        <w:right w:val="none" w:sz="0" w:space="0" w:color="auto"/>
      </w:divBdr>
    </w:div>
    <w:div w:id="946431145">
      <w:bodyDiv w:val="1"/>
      <w:marLeft w:val="0"/>
      <w:marRight w:val="0"/>
      <w:marTop w:val="0"/>
      <w:marBottom w:val="0"/>
      <w:divBdr>
        <w:top w:val="none" w:sz="0" w:space="0" w:color="auto"/>
        <w:left w:val="none" w:sz="0" w:space="0" w:color="auto"/>
        <w:bottom w:val="none" w:sz="0" w:space="0" w:color="auto"/>
        <w:right w:val="none" w:sz="0" w:space="0" w:color="auto"/>
      </w:divBdr>
    </w:div>
    <w:div w:id="1146046668">
      <w:bodyDiv w:val="1"/>
      <w:marLeft w:val="0"/>
      <w:marRight w:val="0"/>
      <w:marTop w:val="0"/>
      <w:marBottom w:val="0"/>
      <w:divBdr>
        <w:top w:val="none" w:sz="0" w:space="0" w:color="auto"/>
        <w:left w:val="none" w:sz="0" w:space="0" w:color="auto"/>
        <w:bottom w:val="none" w:sz="0" w:space="0" w:color="auto"/>
        <w:right w:val="none" w:sz="0" w:space="0" w:color="auto"/>
      </w:divBdr>
    </w:div>
    <w:div w:id="1462264026">
      <w:bodyDiv w:val="1"/>
      <w:marLeft w:val="0"/>
      <w:marRight w:val="0"/>
      <w:marTop w:val="0"/>
      <w:marBottom w:val="0"/>
      <w:divBdr>
        <w:top w:val="none" w:sz="0" w:space="0" w:color="auto"/>
        <w:left w:val="none" w:sz="0" w:space="0" w:color="auto"/>
        <w:bottom w:val="none" w:sz="0" w:space="0" w:color="auto"/>
        <w:right w:val="none" w:sz="0" w:space="0" w:color="auto"/>
      </w:divBdr>
    </w:div>
    <w:div w:id="1811047756">
      <w:bodyDiv w:val="1"/>
      <w:marLeft w:val="0"/>
      <w:marRight w:val="0"/>
      <w:marTop w:val="0"/>
      <w:marBottom w:val="0"/>
      <w:divBdr>
        <w:top w:val="none" w:sz="0" w:space="0" w:color="auto"/>
        <w:left w:val="none" w:sz="0" w:space="0" w:color="auto"/>
        <w:bottom w:val="none" w:sz="0" w:space="0" w:color="auto"/>
        <w:right w:val="none" w:sz="0" w:space="0" w:color="auto"/>
      </w:divBdr>
    </w:div>
    <w:div w:id="21157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Ботанова</dc:creator>
  <cp:lastModifiedBy>Гульдана Мамырбаевна Атабаева</cp:lastModifiedBy>
  <cp:revision>6</cp:revision>
  <cp:lastPrinted>2020-01-22T04:26:00Z</cp:lastPrinted>
  <dcterms:created xsi:type="dcterms:W3CDTF">2020-07-15T17:59:00Z</dcterms:created>
  <dcterms:modified xsi:type="dcterms:W3CDTF">2021-09-10T08:33:00Z</dcterms:modified>
</cp:coreProperties>
</file>