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6" w:type="dxa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7780"/>
        <w:gridCol w:w="1886"/>
      </w:tblGrid>
      <w:tr w:rsidR="002A21A2" w:rsidRPr="002A21A2" w:rsidTr="002A21A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0F7ADB">
              <w:rPr>
                <w:lang w:val="ru-RU"/>
              </w:rPr>
              <w:br/>
            </w:r>
            <w:r w:rsidRPr="000F7ADB">
              <w:rPr>
                <w:color w:val="000000"/>
                <w:sz w:val="20"/>
                <w:lang w:val="ru-RU"/>
              </w:rPr>
              <w:t>налоговой регистрации</w:t>
            </w:r>
            <w:r w:rsidRPr="000F7ADB">
              <w:rPr>
                <w:lang w:val="ru-RU"/>
              </w:rPr>
              <w:br/>
            </w:r>
            <w:r w:rsidRPr="000F7ADB">
              <w:rPr>
                <w:color w:val="000000"/>
                <w:sz w:val="20"/>
                <w:lang w:val="ru-RU"/>
              </w:rPr>
              <w:t>налогоплательщиков</w:t>
            </w:r>
          </w:p>
          <w:p w:rsidR="002A21A2" w:rsidRPr="000F7ADB" w:rsidRDefault="002A21A2" w:rsidP="00B81968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2A21A2" w:rsidRPr="000F7ADB" w:rsidRDefault="002A21A2" w:rsidP="002A21A2">
      <w:pPr>
        <w:spacing w:after="0"/>
        <w:rPr>
          <w:lang w:val="ru-RU"/>
        </w:rPr>
      </w:pPr>
      <w:bookmarkStart w:id="0" w:name="z279"/>
      <w:r w:rsidRPr="000F7ADB">
        <w:rPr>
          <w:b/>
          <w:color w:val="000000"/>
          <w:lang w:val="ru-RU"/>
        </w:rPr>
        <w:t xml:space="preserve"> Перечень основных требований к оказанию государственной услуги "</w:t>
      </w:r>
      <w:bookmarkStart w:id="1" w:name="_GoBack"/>
      <w:r w:rsidRPr="000F7ADB">
        <w:rPr>
          <w:b/>
          <w:color w:val="000000"/>
          <w:lang w:val="ru-RU"/>
        </w:rPr>
        <w:t>Регистрация налогоплательщиков</w:t>
      </w:r>
      <w:bookmarkEnd w:id="1"/>
      <w:r w:rsidRPr="000F7ADB">
        <w:rPr>
          <w:b/>
          <w:color w:val="000000"/>
          <w:lang w:val="ru-RU"/>
        </w:rPr>
        <w:t>"</w:t>
      </w: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694"/>
        <w:gridCol w:w="5953"/>
      </w:tblGrid>
      <w:tr w:rsidR="002A21A2" w:rsidRP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2A21A2" w:rsidRP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280"/>
            <w:r w:rsidRPr="000F7ADB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– при внесении сведений о нерезиденте в государственную базу данных налогоплательщиков, внесении изменений и (или) дополнений в регистрационные данные;</w:t>
            </w:r>
          </w:p>
          <w:bookmarkEnd w:id="2"/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2) через Государственную корпорацию – при внесении сведений о нерезиденте в государственную базу данных налогоплательщиков, внесении изменений и (или) дополнений в регистрационные данные;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3) посредством объекта информатизации "</w:t>
            </w:r>
            <w:r>
              <w:rPr>
                <w:color w:val="000000"/>
                <w:sz w:val="20"/>
              </w:rPr>
              <w:t>web</w:t>
            </w:r>
            <w:r w:rsidRPr="000F7ADB">
              <w:rPr>
                <w:color w:val="000000"/>
                <w:sz w:val="20"/>
                <w:lang w:val="ru-RU"/>
              </w:rPr>
              <w:t>-приложения "Кабинет налогоплательщика" – при внесении сведений о юридическом лице– нерезиденте в государственную базу данных налогоплательщиков, внесении изменений и (или) дополнений в регистрационные данные нерезидента, при внесении изменений и (или) дополнений в сведения об ответственном работнике по расчетам с бюджетом, номере телефона, адресе электронной почты юридического лица резидента.</w:t>
            </w:r>
          </w:p>
        </w:tc>
      </w:tr>
      <w:tr w:rsid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282"/>
            <w:r w:rsidRPr="000F7ADB">
              <w:rPr>
                <w:color w:val="000000"/>
                <w:sz w:val="20"/>
                <w:lang w:val="ru-RU"/>
              </w:rPr>
              <w:t>1) Внесение сведений о налогоплательщике в ГБД НП – в течение 2 (двух) рабочих дней со дня получения налогового заявления о постановке на регистрационный учет;</w:t>
            </w:r>
          </w:p>
          <w:bookmarkEnd w:id="3"/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2) внесение изменений в регистрационные данные налогоплательщика – в течение 2 (двух) рабочих дней со дня получения налогового заявления о постановке на регистрационный учет.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3) максимально допустимое время ожидания для сдачи пакета документов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в Государственную корпорацию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– 15 (пятнадцать) минут;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 4) максимально допустимое время обслуживания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Государственной корпорацией </w:t>
            </w:r>
          </w:p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287"/>
            <w:r w:rsidRPr="000F7ADB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 и Закону Республики Казахстан "О праздниках в Республике Казахстан" (далее – Закон о праздниках).</w:t>
            </w:r>
          </w:p>
          <w:bookmarkEnd w:id="4"/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2) Государственной корпорации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и Закону о праздниках.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Прием осуществляется по электронной очереди без ускоренного обслуживания, возможно бронирование электронной очереди посредством портала;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: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0F7ADB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portal</w:t>
            </w:r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0F7AD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;</w:t>
            </w:r>
          </w:p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посредством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информатизации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A21A2" w:rsidRP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296"/>
            <w:r w:rsidRPr="000F7ADB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представителя:</w:t>
            </w:r>
          </w:p>
          <w:bookmarkEnd w:id="5"/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1. к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или в Государственную корпорацию: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для внесения сведений о юридическом лице – нерезиденте, внесении изменений и (или) дополнений в регистрационные данные в ГБД НП: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 налоговое заявление о постановке на регистрационный учет с приложением нотариально засвидетельствованных копий следующих документов: 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1) учредительных; 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2) подтверждающих государственную регистрацию в стране инкорпорации нерезидента, с указанием номера государственной регистрации (или его аналога);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3) подтверждающих налоговую регистрацию в стране инкорпорации нерезидента, с указанием номера налоговой регистрации (или его аналога) при наличии такого документа; 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4) содержащих сведения о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бенефициарном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собственнике;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5) протокола собрания совета директоров или аналогичного органа управления.;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для внесения изменений и (или) дополнений в регистрационные данные в ГБД НП – налоговое заявление о постановке на регистрационный учет.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2. на портал: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для внесения сведений о юридическом лице – нерезиденте, внесении изменений и (или) дополнений в регистрационные данные нерезидента, изменений и (или) дополнений в сведения об ответственном работнике по расчетам с бюджетом, номере телефона, адресе электронной почты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– налоговое заявление о постановке на регистрационный учет.</w:t>
            </w:r>
          </w:p>
        </w:tc>
      </w:tr>
      <w:tr w:rsidR="002A21A2" w:rsidRP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307"/>
            <w:r w:rsidRPr="000F7ADB">
              <w:rPr>
                <w:color w:val="000000"/>
                <w:sz w:val="20"/>
                <w:lang w:val="ru-RU"/>
              </w:rPr>
              <w:t xml:space="preserve"> Основания для отказа в оказании государственной услуги, установленные Законом Республики Казахстан </w:t>
            </w:r>
          </w:p>
          <w:bookmarkEnd w:id="6"/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услугах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308"/>
            <w:r w:rsidRPr="000F7AD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</w:t>
            </w:r>
          </w:p>
          <w:bookmarkEnd w:id="7"/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в них;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2A21A2" w:rsidRPr="002A21A2" w:rsidTr="002A21A2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Default="002A21A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311"/>
            <w:r w:rsidRPr="000F7AD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>, имеющим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 с выездом по месту жительства посредством обращения через Единый контакт-центр 1414,  8 800 080 777 (при оказании услуги через Государственную корпорацию).</w:t>
            </w:r>
          </w:p>
          <w:bookmarkEnd w:id="8"/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 xml:space="preserve">Государственная услуга предоставляется в электронной форме через портал и через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7AD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F7ADB">
              <w:rPr>
                <w:color w:val="000000"/>
                <w:sz w:val="20"/>
                <w:lang w:val="ru-RU"/>
              </w:rPr>
              <w:t xml:space="preserve"> в "Кабинете налогоплательщика" при наличии электронной цифровой подписи.</w:t>
            </w:r>
          </w:p>
          <w:p w:rsidR="002A21A2" w:rsidRPr="000F7ADB" w:rsidRDefault="002A21A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0F7ADB">
              <w:rPr>
                <w:color w:val="000000"/>
                <w:sz w:val="20"/>
                <w:lang w:val="ru-RU"/>
              </w:rPr>
              <w:t>Получение информации о статусе оказания государственной услуги в режиме удаленного доступа предусматривается посредством "личного кабинета" на портале, Единого контакт-центра.</w:t>
            </w:r>
          </w:p>
        </w:tc>
      </w:tr>
    </w:tbl>
    <w:p w:rsidR="00BA6BE8" w:rsidRPr="002A21A2" w:rsidRDefault="00BA6BE8">
      <w:pPr>
        <w:rPr>
          <w:lang w:val="ru-RU"/>
        </w:rPr>
      </w:pPr>
    </w:p>
    <w:sectPr w:rsidR="00BA6BE8" w:rsidRPr="002A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A2"/>
    <w:rsid w:val="002A21A2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80E1"/>
  <w15:chartTrackingRefBased/>
  <w15:docId w15:val="{0F12CD0C-FD65-42A9-94E3-F71ADEBF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1A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2026-01-22T10:32:00Z</dcterms:created>
  <dcterms:modified xsi:type="dcterms:W3CDTF">2026-01-22T10:33:00Z</dcterms:modified>
</cp:coreProperties>
</file>