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CellSpacing w:w="0" w:type="auto"/>
        <w:tblLook w:val="04A0" w:firstRow="1" w:lastRow="0" w:firstColumn="1" w:lastColumn="0" w:noHBand="0" w:noVBand="1"/>
      </w:tblPr>
      <w:tblGrid>
        <w:gridCol w:w="3261"/>
        <w:gridCol w:w="6520"/>
      </w:tblGrid>
      <w:tr w:rsidR="00A60599" w:rsidRPr="00DA7304" w:rsidTr="00A60599">
        <w:trPr>
          <w:trHeight w:val="30"/>
          <w:tblCellSpacing w:w="0" w:type="auto"/>
        </w:trPr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Pr="00DA7304" w:rsidRDefault="00A60599" w:rsidP="00A60599">
            <w:pPr>
              <w:spacing w:after="0"/>
              <w:jc w:val="right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Приложение</w:t>
            </w:r>
            <w:r w:rsidRPr="00DA7304">
              <w:rPr>
                <w:lang w:val="ru-RU"/>
              </w:rPr>
              <w:br/>
            </w:r>
            <w:r w:rsidRPr="00DA7304">
              <w:rPr>
                <w:color w:val="000000"/>
                <w:sz w:val="20"/>
                <w:lang w:val="ru-RU"/>
              </w:rPr>
              <w:t>к Правилам оказания</w:t>
            </w:r>
            <w:r w:rsidRPr="00DA7304">
              <w:rPr>
                <w:lang w:val="ru-RU"/>
              </w:rPr>
              <w:br/>
            </w:r>
            <w:r w:rsidRPr="00DA7304">
              <w:rPr>
                <w:color w:val="000000"/>
                <w:sz w:val="20"/>
                <w:lang w:val="ru-RU"/>
              </w:rPr>
              <w:t>государственных услуг</w:t>
            </w:r>
            <w:r w:rsidRPr="00DA7304">
              <w:rPr>
                <w:lang w:val="ru-RU"/>
              </w:rPr>
              <w:br/>
            </w:r>
            <w:r w:rsidRPr="00DA7304">
              <w:rPr>
                <w:color w:val="000000"/>
                <w:sz w:val="20"/>
                <w:lang w:val="ru-RU"/>
              </w:rPr>
              <w:t>"Прием заявления о ввозе</w:t>
            </w:r>
            <w:r w:rsidRPr="00DA7304">
              <w:rPr>
                <w:lang w:val="ru-RU"/>
              </w:rPr>
              <w:br/>
            </w:r>
            <w:r w:rsidRPr="00DA7304">
              <w:rPr>
                <w:color w:val="000000"/>
                <w:sz w:val="20"/>
                <w:lang w:val="ru-RU"/>
              </w:rPr>
              <w:t>товаров и уплате косвенных</w:t>
            </w:r>
            <w:r w:rsidRPr="00DA7304">
              <w:rPr>
                <w:lang w:val="ru-RU"/>
              </w:rPr>
              <w:br/>
            </w:r>
            <w:r w:rsidRPr="00DA7304">
              <w:rPr>
                <w:color w:val="000000"/>
                <w:sz w:val="20"/>
                <w:lang w:val="ru-RU"/>
              </w:rPr>
              <w:t>налогов"</w:t>
            </w:r>
          </w:p>
        </w:tc>
      </w:tr>
      <w:tr w:rsidR="00A60599" w:rsidRPr="00DA7304" w:rsidTr="00A605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7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 "</w:t>
            </w:r>
            <w:bookmarkStart w:id="0" w:name="_GoBack"/>
            <w:r w:rsidRPr="00DA7304">
              <w:rPr>
                <w:color w:val="000000"/>
                <w:sz w:val="20"/>
                <w:lang w:val="ru-RU"/>
              </w:rPr>
              <w:t>Прием заявления о ввозе товаров и уплате косвенных налогов</w:t>
            </w:r>
            <w:bookmarkEnd w:id="0"/>
            <w:r w:rsidRPr="00DA7304">
              <w:rPr>
                <w:color w:val="000000"/>
                <w:sz w:val="20"/>
                <w:lang w:val="ru-RU"/>
              </w:rPr>
              <w:t>"</w:t>
            </w:r>
          </w:p>
        </w:tc>
      </w:tr>
      <w:tr w:rsidR="00A60599" w:rsidRPr="00DA7304" w:rsidTr="00A605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Default="00A60599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Органы государственных доходов по районам, городам и районам в городах, на территории специальных экономических зон (далее –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A60599" w:rsidRPr="00DA7304" w:rsidTr="00A605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Способы предоставления государственной услуги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Pr="00A60599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A60599">
              <w:rPr>
                <w:color w:val="000000"/>
                <w:sz w:val="20"/>
                <w:lang w:val="ru-RU"/>
              </w:rPr>
              <w:t xml:space="preserve">1) через </w:t>
            </w:r>
            <w:proofErr w:type="spellStart"/>
            <w:r w:rsidRPr="00A6059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60599">
              <w:rPr>
                <w:color w:val="000000"/>
                <w:sz w:val="20"/>
                <w:lang w:val="ru-RU"/>
              </w:rPr>
              <w:t>;</w:t>
            </w:r>
          </w:p>
          <w:p w:rsidR="00A60599" w:rsidRPr="00A60599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A60599">
              <w:rPr>
                <w:color w:val="000000"/>
                <w:sz w:val="20"/>
                <w:lang w:val="ru-RU"/>
              </w:rPr>
              <w:t>2) через Государственную корпорацию "Правительство для граждан" (далее – Государственная корпорация);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3) посредством веб-портала "электронного правительства" (далее – портал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);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4) посредством объектов информатизации (в том числе мобильных приложений банков второго уровня), веб-приложения "Кабинет налогоплательщика" </w:t>
            </w:r>
            <w:proofErr w:type="spellStart"/>
            <w:r>
              <w:rPr>
                <w:color w:val="000000"/>
                <w:sz w:val="20"/>
              </w:rPr>
              <w:t>knp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A60599" w:rsidRPr="00DA7304" w:rsidTr="00A605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Default="00A60599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1) прием формы налоговой отчетности (далее – ФНО), представленной на бумажном носителе в явочном порядке – в течение 20 (двадцать) минут с момента ее подачи;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2) прием ФНО в электронном виде – не позднее 1 (одного) рабочего дня с момента ее принятия информационной системой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3) максимально допустимое время ожидания для сдачи пакета документов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в Государственную корпорацию – 15 (пятнадцать) минут;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4) максимально допустимое время обслуживания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Государственной корпорацией – 15 (пятнадцать) минут.</w:t>
            </w:r>
          </w:p>
        </w:tc>
      </w:tr>
      <w:tr w:rsidR="00A60599" w:rsidTr="00A605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Default="00A60599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Default="00A60599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60599" w:rsidRPr="00DA7304" w:rsidTr="00A605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Default="00A60599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1) отметка Государственной корпорации о приеме ФНО;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2) отметка времени и даты приема почтовой или иной организации связи о приеме ФНО;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3) уведомление/подтверждение о приеме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ФНО в электронном виде;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4) подтверждение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факта уплаты налога на добавленную стоимость (далее – НДС) по импортированным товарам в ФНО о ввозе товаров и уплате косвенных налогов (форма 328.00) путем проставления соответствующей отметки;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5) мотивированный ответ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об отказе в оказании государственной услуги в случаях и по основаниям, указанных в пункте 9 настоящего Перечня.</w:t>
            </w:r>
          </w:p>
        </w:tc>
      </w:tr>
      <w:tr w:rsidR="00A60599" w:rsidTr="00A605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Размер платы, взимаемой с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Default="00A60599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предоставляется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60599" w:rsidRPr="00DA7304" w:rsidTr="00A605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 Трудовому кодексу Республики Казахстан (далее – Трудовой </w:t>
            </w:r>
            <w:r w:rsidRPr="00DA7304">
              <w:rPr>
                <w:color w:val="000000"/>
                <w:sz w:val="20"/>
                <w:lang w:val="ru-RU"/>
              </w:rPr>
              <w:lastRenderedPageBreak/>
              <w:t>кодекс) и Закону Республики Казахстан "О праздниках в Республике Казахстан" (далее – Закон о праздниках).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 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Трудовому кодексу и Закону о праздниках.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Прием осуществляется в порядке электронной очереди без ускоренного обслуживания, возможно бронирование электронной очереди посредством портала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 3) портала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кодексу и Закону о праздниках, прием документов и выдача результата оказания государственной услуги осуществляется следующим рабочим днем).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: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2) Государственной корпорации: 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3) портала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4) веб-приложения "Кабинет налогоплательщика" </w:t>
            </w:r>
            <w:proofErr w:type="spellStart"/>
            <w:r>
              <w:rPr>
                <w:color w:val="000000"/>
                <w:sz w:val="20"/>
              </w:rPr>
              <w:t>knp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A60599" w:rsidRPr="00DA7304" w:rsidTr="00A605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lastRenderedPageBreak/>
              <w:t xml:space="preserve">Перечень документов и сведений,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либо его представителя, действующего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при импорте товаров, в том числе товаров, являющихся продуктами переработки давальческого сырья, на территорию </w:t>
            </w:r>
            <w:r w:rsidRPr="00A60599">
              <w:rPr>
                <w:color w:val="000000"/>
                <w:sz w:val="20"/>
                <w:lang w:val="ru-RU"/>
              </w:rPr>
              <w:t xml:space="preserve">Республики Казахстан с территории государств-членов Евразийского экономического союза (далее – ЕАЭС), налогоплательщик обязан представить </w:t>
            </w:r>
            <w:proofErr w:type="spellStart"/>
            <w:r w:rsidRPr="00A60599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60599">
              <w:rPr>
                <w:color w:val="000000"/>
                <w:sz w:val="20"/>
                <w:lang w:val="ru-RU"/>
              </w:rPr>
              <w:t xml:space="preserve"> по месту нахождения ФНО (форма 328.00), в том числе по договорам (контрактам) лизинга, на бумажном носителе и в электронной форме не позднее 20-го числа месяца, следующего за налоговым периодом, если иное не установлено настоящим пунктом. </w:t>
            </w:r>
            <w:r w:rsidRPr="00DA7304">
              <w:rPr>
                <w:color w:val="000000"/>
                <w:sz w:val="20"/>
                <w:lang w:val="ru-RU"/>
              </w:rPr>
              <w:t xml:space="preserve">Одновременно к ФНО (форма 328.00)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представляет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следующие документы: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 1) выписку банка, подтверждающую фактическую уплату косвенных налогов по импортированным товарам, и (или) иной платежный документ, предусмотренный банковским законодательством Республики Казахстан, подтверждающий исполнение налогового обязательства по уплате косвенных налогов по импортированным товарам, или документы, подтверждающие освобождение от НДС, с учетом требований статьи 525 Налогового кодекса.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При этом указанные документы не представляются при ином порядке уплаты НДС, а также в случае наличия переплаты на лицевых счетах по НДС по импортированным товарам, которая подлежит зачету в счет предстоящих платежей по НДС по импортированным товарам при условии, что налогоплательщиком не подана ФНО (форма 328.00) на зачет указанных сумм переплаты по другим видам налогов и платежей в бюджет или возврат на расчетный счет.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lastRenderedPageBreak/>
              <w:t>По договорам (контрактам) лизинга указанные в настоящем подпункте документы представляются в срок, установленный в настоящем пункте по сроку лизингового платежа, предусмотренного договором (контрактом) лизинга, приходящегося на отчетный налоговый период;</w:t>
            </w:r>
          </w:p>
          <w:p w:rsidR="00A60599" w:rsidRPr="00A60599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2) товаросопроводительные и (или) иные документы, подтверждающие перемещение товаров с территории одного государства-члена ЕАЭС на территорию </w:t>
            </w:r>
            <w:r w:rsidRPr="00A60599">
              <w:rPr>
                <w:color w:val="000000"/>
                <w:sz w:val="20"/>
                <w:lang w:val="ru-RU"/>
              </w:rPr>
              <w:t>Республики Казахстан (указанные документы не представляются, если для отдельных видов перемещения товаров, в том числе перемещения товаров без использования транспортных средств, оформление этих документов не предусмотрено законодательством Республики Казахстан);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3) счета-фактуры, оформленные в соответствии с законодательством государства-члена ЕАЭС при отгрузке товаров, в случае, если их выставление (выписка) предусмотрено (предусмотрена) законодательством государства-члена ЕАЭС.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Если выставление (выписка) счета-фактуры не предусмотрено (не предусмотрена) законодательством государства-члена ЕАЭС либо товары приобретаются у налогоплательщика государства, не являющегося государством-членом ЕАЭС, вместо счета-фактуры представляется иной документ, выставленный (выписанный) продавцом, подтверждающий стоимость импортированных товаров;</w:t>
            </w:r>
          </w:p>
          <w:p w:rsidR="00A60599" w:rsidRPr="00A60599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4) договоры (контракты), на основании которых приобретены товары, импортированные на территорию </w:t>
            </w:r>
            <w:r w:rsidRPr="00A60599">
              <w:rPr>
                <w:color w:val="000000"/>
                <w:sz w:val="20"/>
                <w:lang w:val="ru-RU"/>
              </w:rPr>
              <w:t>Республики Казахстан с территории государства-члена ЕАЭС, в случае лизинга товаров (предметов лизинга) – договоры (контракты) лизинга, в случае предоставления займа в виде вещей – договоры займа, договоры (контракты) об изготовлении товаров, договоры (контракты) на переработку давальческого сырья;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A60599">
              <w:rPr>
                <w:color w:val="000000"/>
                <w:sz w:val="20"/>
                <w:lang w:val="ru-RU"/>
              </w:rPr>
              <w:t xml:space="preserve"> </w:t>
            </w:r>
            <w:r w:rsidRPr="00DA7304">
              <w:rPr>
                <w:color w:val="000000"/>
                <w:sz w:val="20"/>
                <w:lang w:val="ru-RU"/>
              </w:rPr>
              <w:t>5) информационное сообщение (в случаях, предусмотренных пунктами 2, 3, 4 и 5 статьи 528 Налогового Кодекса), представленное налогоплательщику Республики Казахстан налогоплательщиком другого государства-члена ЕАЭС либо налогоплательщиком государства, не являющегося членом ЕАЭС, подписанное руководителем (ИП) и заверенное печатью организации, реализующей товары, импортированные с территории третьего государства-члена ЕАЭС, содержащее сведения о налогоплательщике третьего государства-члена ЕАЭС и договоре (контракте), заключенном с налогоплательщиком этого третьего государства-члена ЕАЭС, о приобретении импортированного товара: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номер, идентифицирующий лицо в качестве налогоплательщика государства-члена ЕАЭС;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наименование налогоплательщика (организации, ИП) государства-члена ЕАЭС;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место нахождения (жительства) налогоплательщика государства-члена ЕАЭС;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номер и дата контракта (договора);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номер и дата спецификации.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В случае если налогоплательщик государства-члена ЕАЭС, у которого приобретается товар, не является собственником реализуемого товара (является комиссионером, поверенным), то сведения, указанные в абзацах втором – шестом части первой настоящего подпункта, представляются также в отношении собственника реализуемого товара.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В случае представления информационного сообщения на иностранном языке обязательно наличие перевода на казахский и русский языки.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lastRenderedPageBreak/>
              <w:t>Информационное сообщение не представляется в случае, если сведения, предусмотренные настоящим подпунктом, содержатся в договоре (контракте), указанном в подпункте 4) части второй настоящего пункта;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6) договоры (контракты) комиссии или поручения (в случаях их заключения);</w:t>
            </w:r>
          </w:p>
          <w:p w:rsidR="00A60599" w:rsidRPr="00A60599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 7) договоры (контракты), на основании которых приобретены товары, импортированные на территорию </w:t>
            </w:r>
            <w:r w:rsidRPr="00A60599">
              <w:rPr>
                <w:color w:val="000000"/>
                <w:sz w:val="20"/>
                <w:lang w:val="ru-RU"/>
              </w:rPr>
              <w:t>Республики Казахстан с территории другого государства-члена ЕАЭС, по договорам комиссии или поручения (в случаях, предусмотренных пунктами 2 и 3 статьи 528 Налогового кодекса, за исключением случаев, когда НДС уплачивается комиссионером, поверенным).</w:t>
            </w:r>
          </w:p>
          <w:p w:rsidR="00A60599" w:rsidRPr="00A60599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В случае розничной купли-продажи при отсутствии документов, указанных в подпунктах 2), 3) и 4) части второй настоящего пункта, представляются документы, подтверждающие получение (либо приобретение) импортированных на территорию </w:t>
            </w:r>
            <w:r w:rsidRPr="00A60599">
              <w:rPr>
                <w:color w:val="000000"/>
                <w:sz w:val="20"/>
                <w:lang w:val="ru-RU"/>
              </w:rPr>
              <w:t>Республики Казахстан товаров (в том числе чеки контрольно-кассовой машины, товарные чеки, закупочные акты).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Документы, указанные в подпунктах 1), 2), 3), 4), 5), 6) и 7) части второй настоящего пункта, могут быть представлены в копиях, заверенных подписями руководителя и главного бухгалтера (при его наличии) либо иных лиц, уполномоченных на то по решению налогоплательщика, а также печатью налогоплательщика, за исключением случаев, когда у налогоплательщика печать отсутствует по основаниям, предусмотренным законодательством Республики Казахстан.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По договорам (контрактам) лизинга налогоплательщик представляет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не позднее 20 числа месяца, следующего за налоговым периодом – месяцем принятия на учет импортированных товаров (предметов лизинга), одновременно с ФНО (форма 328.00) документы, предусмотренные подпунктами 1), 2), 3), 4), 5), 6) и 7) части второй настоящего пункта. В последующем налогоплательщик представляет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не позднее 20 числа месяца, следующего за налоговым периодом месяцем срока платежа, предусмотренного договором (контрактом) лизинга, одновременно с ФНО (форма 328.00) документы (их копии), предусмотренные подпунктом 1) части второй настоящего пункта.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В случае если дата наступления срока оплаты части стоимости товаров (предметов лизинга), предусмотренная договором (контрактом) лизинга, наступает после ввоза товаров (предметов лизинга) на территорию </w:t>
            </w:r>
            <w:r w:rsidRPr="00A60599">
              <w:rPr>
                <w:color w:val="000000"/>
                <w:sz w:val="20"/>
                <w:lang w:val="ru-RU"/>
              </w:rPr>
              <w:t xml:space="preserve">Республики Казахстан, налогоплательщик представляет </w:t>
            </w:r>
            <w:proofErr w:type="spellStart"/>
            <w:r w:rsidRPr="00A60599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60599">
              <w:rPr>
                <w:color w:val="000000"/>
                <w:sz w:val="20"/>
                <w:lang w:val="ru-RU"/>
              </w:rPr>
              <w:t xml:space="preserve"> не позднее 20 числа месяца, следующего за налоговым периодом – месяцем принятия на учет импортированных товаров (предметов лизинга), одновременно с ФНО (форма 328.00) документы, предусмотренные подпунктами 2), 3) и 4) части второй настоящего пункта. </w:t>
            </w:r>
            <w:r w:rsidRPr="00DA7304">
              <w:rPr>
                <w:color w:val="000000"/>
                <w:sz w:val="20"/>
                <w:lang w:val="ru-RU"/>
              </w:rPr>
              <w:t>При этом налогоплательщик в ФНО (форма 328.00) не отражает налоговую базу по НДС.</w:t>
            </w:r>
          </w:p>
          <w:p w:rsidR="00A60599" w:rsidRPr="00A60599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В случае если по договору (контракту) лизинга дата наступления срока оплаты части стоимости товаров (предметов лизинга) установлена до даты ввоза товаров (предметов лизинга) на территорию </w:t>
            </w:r>
            <w:r w:rsidRPr="00A60599">
              <w:rPr>
                <w:color w:val="000000"/>
                <w:sz w:val="20"/>
                <w:lang w:val="ru-RU"/>
              </w:rPr>
              <w:t xml:space="preserve">Республики Казахстан, налогоплательщик представляет </w:t>
            </w:r>
            <w:proofErr w:type="spellStart"/>
            <w:r w:rsidRPr="00A60599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60599">
              <w:rPr>
                <w:color w:val="000000"/>
                <w:sz w:val="20"/>
                <w:lang w:val="ru-RU"/>
              </w:rPr>
              <w:t xml:space="preserve"> не позднее 20 числа месяца, следующего за налоговым периодом – месяцем принятия на учет импортированных товаров (предметов лизинга), одновременно с ФНО (форма 328.00) документы, предусмотренные подпунктами 1), 2), 3) и 4) части второй настоящего пункта.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В последующем налогоплательщик представляет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не позднее 20 числа месяца, следующего за налоговым периодом месяцем срока </w:t>
            </w:r>
            <w:r w:rsidRPr="00DA7304">
              <w:rPr>
                <w:color w:val="000000"/>
                <w:sz w:val="20"/>
                <w:lang w:val="ru-RU"/>
              </w:rPr>
              <w:lastRenderedPageBreak/>
              <w:t>платежа, предусмотренного договором (контрактом) лизинга, одновременно с ФНО (форма 328.00) документы (их копии), предусмотренные подпунктом 1) части второй настоящего пункта.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При представлении ФНО (форма 328.00) только в электронной форме документы, указанные в подпунктах 1,2, 3, 4, 5, 6 и 7) части второй настоящего пункта, не представляются;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на портал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:</w:t>
            </w:r>
          </w:p>
          <w:p w:rsidR="00A60599" w:rsidRPr="00A60599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при импорте товаров, в том числе товаров, являющихся продуктами переработки давальческого сырья, на территорию </w:t>
            </w:r>
            <w:r w:rsidRPr="00A60599">
              <w:rPr>
                <w:color w:val="000000"/>
                <w:sz w:val="20"/>
                <w:lang w:val="ru-RU"/>
              </w:rPr>
              <w:t xml:space="preserve">Республики Казахстан с территории государств-членов ЕАЭС, налогоплательщик обязан представить </w:t>
            </w:r>
            <w:proofErr w:type="spellStart"/>
            <w:r w:rsidRPr="00A60599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60599">
              <w:rPr>
                <w:color w:val="000000"/>
                <w:sz w:val="20"/>
                <w:lang w:val="ru-RU"/>
              </w:rPr>
              <w:t xml:space="preserve"> по месту нахождения ФНО (форма 328.00), в том числе по договорам (контрактам) лизинга, на бумажном носителе и в электронной форме не позднее 20-го числа месяца, следующего за налоговым периодом, по установленной форме.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о государственной регистрации (перерегистрации) юридического лица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 w:rsidR="00A60599" w:rsidRPr="00DA7304" w:rsidTr="00A605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lastRenderedPageBreak/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Мотивированный отказ в подтверждении факта уплаты НДС по импортированным товарам осуществляется в случаях: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 1) непредставления документов, предусмотренных пунктом 2 статьи 530 Налогового кодекса;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 2) установления несоответствия сведений, указанных в ФНО (форма 328.00), сведениям, содержащимся в представленных налогоплательщиком документах, предусмотренных пунктом 2 статьи 530 Налогового кодекса;</w:t>
            </w:r>
          </w:p>
          <w:p w:rsidR="00A60599" w:rsidRPr="00A60599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3) несоответствия данных, указанных в бумажной ФНО (форма 328.00) данным электронной ФНО (форма 328.00), заверенного электронной цифровой подписью </w:t>
            </w:r>
            <w:r w:rsidRPr="00A60599">
              <w:rPr>
                <w:color w:val="000000"/>
                <w:sz w:val="20"/>
                <w:lang w:val="ru-RU"/>
              </w:rPr>
              <w:t>(далее – ЭЦП) налогоплательщика;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4) несоответствия заполнения ФНО (форма 328.00) Пояснениям составления и его представления утвержденной форме;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5) занижения размера облагаемого импорта и (или) сумм косвенных налогов по импортированным товарам, в связи с которым осуществляется корректировка размера облагаемого импорта;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6) неуплаты, а также уплаты не в полном объеме исчисленных сумм косвенных налогов, указанных в ФНО (форма 328.00);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7) установление недостоверности документов, представленных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8) несоответствие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  9) отсутствие согласия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A60599" w:rsidRPr="00DA7304" w:rsidTr="00A605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, имеющему в установленном Кодексом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A7304">
              <w:rPr>
                <w:color w:val="000000"/>
                <w:sz w:val="20"/>
                <w:lang w:val="ru-RU"/>
              </w:rPr>
              <w:lastRenderedPageBreak/>
              <w:t>Услугополучатель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и через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интернет-ресурс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в веб-приложении "Кабинет </w:t>
            </w:r>
            <w:proofErr w:type="spellStart"/>
            <w:r w:rsidRPr="00DA7304">
              <w:rPr>
                <w:color w:val="000000"/>
                <w:sz w:val="20"/>
                <w:lang w:val="ru-RU"/>
              </w:rPr>
              <w:t>налгоплательщика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knp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при условии наличия ЭЦП.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A7304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A7304">
              <w:rPr>
                <w:color w:val="000000"/>
                <w:sz w:val="20"/>
                <w:lang w:val="ru-RU"/>
              </w:rPr>
              <w:t>, Единого контакт-центра.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A60599" w:rsidRPr="00DA7304" w:rsidRDefault="00A60599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A7304">
              <w:rPr>
                <w:color w:val="000000"/>
                <w:sz w:val="20"/>
                <w:lang w:val="ru-RU"/>
              </w:rPr>
              <w:t>Для использования цифрового документа следует пройти авторизацию в мобильном приложении с использованием ЭЦП или одноразового пароля, далее перейти в раздел "Цифровые документы" и выбрать необходимый документ.</w:t>
            </w:r>
          </w:p>
        </w:tc>
      </w:tr>
    </w:tbl>
    <w:p w:rsidR="00BA6BE8" w:rsidRPr="00A60599" w:rsidRDefault="00BA6BE8">
      <w:pPr>
        <w:rPr>
          <w:lang w:val="ru-RU"/>
        </w:rPr>
      </w:pPr>
    </w:p>
    <w:sectPr w:rsidR="00BA6BE8" w:rsidRPr="00A6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99"/>
    <w:rsid w:val="00A60599"/>
    <w:rsid w:val="00B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87B7A-9D70-41F7-B0F7-6539486E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599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2026-01-22T10:03:00Z</dcterms:created>
  <dcterms:modified xsi:type="dcterms:W3CDTF">2026-01-22T10:05:00Z</dcterms:modified>
</cp:coreProperties>
</file>