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CA" w:rsidRDefault="007B6FCA" w:rsidP="007B6FCA">
      <w:pPr>
        <w:spacing w:after="0"/>
        <w:jc w:val="both"/>
      </w:pPr>
      <w:bookmarkStart w:id="0" w:name="z54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3"/>
        <w:gridCol w:w="3722"/>
      </w:tblGrid>
      <w:tr w:rsidR="007B6FCA" w:rsidTr="001B17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B6FCA" w:rsidRDefault="007B6FCA" w:rsidP="001B17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бөлімшелерінен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шығатын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7B6FCA" w:rsidRDefault="007B6FCA" w:rsidP="007B6FCA">
      <w:pPr>
        <w:spacing w:after="0"/>
        <w:jc w:val="both"/>
      </w:pPr>
      <w:r>
        <w:rPr>
          <w:color w:val="FF0000"/>
          <w:sz w:val="28"/>
        </w:rPr>
        <w:t xml:space="preserve"> 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"/>
        <w:gridCol w:w="2163"/>
        <w:gridCol w:w="6619"/>
      </w:tblGrid>
      <w:tr w:rsidR="007B6FCA" w:rsidTr="001B175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 w:rsidRPr="008C36D0">
              <w:rPr>
                <w:b/>
                <w:color w:val="000000"/>
                <w:sz w:val="20"/>
              </w:rPr>
              <w:t>Қазақстан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Республикасы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Қаржы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министрлігінің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құрылымдық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бөлімшелерінен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және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8C36D0">
              <w:rPr>
                <w:b/>
                <w:color w:val="000000"/>
                <w:sz w:val="20"/>
              </w:rPr>
              <w:t>немесе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) </w:t>
            </w:r>
            <w:proofErr w:type="spellStart"/>
            <w:r w:rsidRPr="008C36D0">
              <w:rPr>
                <w:b/>
                <w:color w:val="000000"/>
                <w:sz w:val="20"/>
              </w:rPr>
              <w:t>олардың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аумақтық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бөлімшелерінен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шығатын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ресми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құжаттарға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апостиль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қою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" </w:t>
            </w:r>
            <w:proofErr w:type="spellStart"/>
            <w:r w:rsidRPr="008C36D0">
              <w:rPr>
                <w:b/>
                <w:color w:val="000000"/>
                <w:sz w:val="20"/>
              </w:rPr>
              <w:t>мемлекеттік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көрсетілетін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қызмет</w:t>
            </w:r>
            <w:proofErr w:type="spellEnd"/>
            <w:r w:rsidRPr="008C36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C36D0">
              <w:rPr>
                <w:b/>
                <w:color w:val="000000"/>
                <w:sz w:val="20"/>
              </w:rPr>
              <w:t>стандарты</w:t>
            </w:r>
            <w:proofErr w:type="spellEnd"/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каналдары</w:t>
            </w:r>
            <w:proofErr w:type="spellEnd"/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құжаттарға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3 (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құжатқа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5 (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Уақытылы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сақтайды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нәтиженің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) 615 </w:t>
            </w:r>
            <w:proofErr w:type="spellStart"/>
            <w:r>
              <w:rPr>
                <w:color w:val="000000"/>
                <w:sz w:val="20"/>
              </w:rPr>
              <w:t>бабының</w:t>
            </w:r>
            <w:proofErr w:type="spellEnd"/>
            <w:r>
              <w:rPr>
                <w:color w:val="000000"/>
                <w:sz w:val="20"/>
              </w:rPr>
              <w:t xml:space="preserve"> 7)-</w:t>
            </w:r>
            <w:proofErr w:type="spellStart"/>
            <w:r>
              <w:rPr>
                <w:color w:val="000000"/>
                <w:sz w:val="20"/>
              </w:rPr>
              <w:t>тармақшасына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құрайды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операцияларының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дипломатиялық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өкілдіктері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ҚР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көзделмеген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– ҚР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жүргізіледі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– www.kgd.gov.kz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– www. gov4c.kz.</w:t>
            </w:r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апостиль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төленгенін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</w:t>
            </w:r>
            <w:proofErr w:type="spellEnd"/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Заңынын</w:t>
            </w:r>
            <w:proofErr w:type="spellEnd"/>
            <w:r>
              <w:rPr>
                <w:color w:val="000000"/>
                <w:sz w:val="20"/>
              </w:rPr>
              <w:t xml:space="preserve"> 19-1-бабында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B6FCA" w:rsidTr="008C36D0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FCA" w:rsidRDefault="007B6FCA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C45F6C" w:rsidRDefault="00C45F6C">
      <w:bookmarkStart w:id="1" w:name="_GoBack"/>
      <w:bookmarkEnd w:id="1"/>
    </w:p>
    <w:sectPr w:rsidR="00C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A"/>
    <w:rsid w:val="007B6FCA"/>
    <w:rsid w:val="008B677E"/>
    <w:rsid w:val="008C36D0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CA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CA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2</cp:revision>
  <dcterms:created xsi:type="dcterms:W3CDTF">2021-05-28T06:46:00Z</dcterms:created>
  <dcterms:modified xsi:type="dcterms:W3CDTF">2021-09-10T09:58:00Z</dcterms:modified>
</cp:coreProperties>
</file>