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8" w:rsidRDefault="00B122D4" w:rsidP="00510FC8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4B103A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819"/>
      </w:tblGrid>
      <w:tr w:rsidR="00510FC8" w:rsidTr="00BC73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операторлардың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мемлекеттiк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</w:t>
            </w:r>
            <w:proofErr w:type="gramStart"/>
            <w:r>
              <w:rPr>
                <w:color w:val="000000"/>
                <w:sz w:val="20"/>
              </w:rPr>
              <w:t>ызмет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510FC8" w:rsidRDefault="00510FC8" w:rsidP="00510FC8">
      <w:pPr>
        <w:spacing w:after="0"/>
        <w:jc w:val="both"/>
      </w:pPr>
      <w:r>
        <w:rPr>
          <w:color w:val="FF0000"/>
          <w:sz w:val="28"/>
        </w:rPr>
        <w:t xml:space="preserve">       </w:t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"/>
        <w:gridCol w:w="1312"/>
        <w:gridCol w:w="7904"/>
      </w:tblGrid>
      <w:tr w:rsidR="00510FC8" w:rsidTr="00BC730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"</w:t>
            </w:r>
            <w:proofErr w:type="spellStart"/>
            <w:r>
              <w:rPr>
                <w:b/>
                <w:color w:val="000000"/>
              </w:rPr>
              <w:t>Уәкілетті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экономикалық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операторлардың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тізіліміне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енгізу</w:t>
            </w:r>
            <w:proofErr w:type="spellEnd"/>
            <w:r>
              <w:rPr>
                <w:b/>
                <w:color w:val="000000"/>
              </w:rPr>
              <w:t xml:space="preserve">" </w:t>
            </w:r>
            <w:proofErr w:type="spellStart"/>
            <w:r>
              <w:rPr>
                <w:b/>
                <w:color w:val="000000"/>
              </w:rPr>
              <w:t>мемлекеттік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к</w:t>
            </w:r>
            <w:proofErr w:type="gramEnd"/>
            <w:r>
              <w:rPr>
                <w:b/>
                <w:color w:val="000000"/>
              </w:rPr>
              <w:t>өрсетілетін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қызмет</w:t>
            </w:r>
            <w:proofErr w:type="spellEnd"/>
            <w:r>
              <w:rPr>
                <w:b/>
                <w:color w:val="000000"/>
              </w:rPr>
              <w:t xml:space="preserve"> стандарты</w:t>
            </w:r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; 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www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веб-порталы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– портал)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У</w:t>
            </w:r>
            <w:proofErr w:type="gramEnd"/>
            <w:r>
              <w:rPr>
                <w:color w:val="000000"/>
                <w:sz w:val="20"/>
              </w:rPr>
              <w:t>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</w:rPr>
              <w:t>енгізуден</w:t>
            </w:r>
            <w:proofErr w:type="spellEnd"/>
            <w:r>
              <w:rPr>
                <w:color w:val="000000"/>
                <w:sz w:val="20"/>
              </w:rPr>
              <w:t xml:space="preserve"> бас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90 (</w:t>
            </w:r>
            <w:proofErr w:type="spellStart"/>
            <w:r>
              <w:rPr>
                <w:color w:val="000000"/>
                <w:sz w:val="20"/>
              </w:rPr>
              <w:t>тоқсан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</w:t>
            </w:r>
            <w:proofErr w:type="gramStart"/>
            <w:r>
              <w:rPr>
                <w:color w:val="000000"/>
                <w:sz w:val="20"/>
              </w:rPr>
              <w:t>шт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қараудан</w:t>
            </w:r>
            <w:proofErr w:type="spellEnd"/>
            <w:r>
              <w:rPr>
                <w:color w:val="000000"/>
                <w:sz w:val="20"/>
              </w:rPr>
              <w:t xml:space="preserve"> бас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5 (бес)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тұлғаны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інші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типтегі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</w:t>
            </w:r>
            <w:proofErr w:type="spellEnd"/>
            <w:r>
              <w:rPr>
                <w:color w:val="000000"/>
                <w:sz w:val="20"/>
              </w:rPr>
              <w:t xml:space="preserve"> беру;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мемлекеттiк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Қағидалар</w:t>
            </w:r>
            <w:proofErr w:type="spellEnd"/>
            <w:r>
              <w:rPr>
                <w:color w:val="000000"/>
                <w:sz w:val="20"/>
              </w:rPr>
              <w:t xml:space="preserve">) 1-қосымшаның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бас </w:t>
            </w:r>
            <w:proofErr w:type="spellStart"/>
            <w:r>
              <w:rPr>
                <w:color w:val="000000"/>
                <w:sz w:val="20"/>
              </w:rPr>
              <w:t>тартуы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Ж</w:t>
            </w:r>
            <w:proofErr w:type="gramEnd"/>
            <w:r>
              <w:rPr>
                <w:color w:val="000000"/>
                <w:sz w:val="20"/>
              </w:rPr>
              <w:t>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– Кодекс)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Заң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ала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көзделмеген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2) портал –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Кодекс пен</w:t>
            </w:r>
            <w:proofErr w:type="gramStart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</w:t>
            </w:r>
            <w:proofErr w:type="gramEnd"/>
            <w:r>
              <w:rPr>
                <w:color w:val="000000"/>
                <w:sz w:val="20"/>
              </w:rPr>
              <w:t>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proofErr w:type="gramEnd"/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</w:t>
            </w:r>
            <w:proofErr w:type="gramStart"/>
            <w:r>
              <w:rPr>
                <w:color w:val="000000"/>
                <w:sz w:val="20"/>
              </w:rPr>
              <w:t>идалар</w:t>
            </w:r>
            <w:proofErr w:type="gramEnd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2-қосымшаға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Портал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ЭЦҚ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Өтінішке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Өтінішпен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gramStart"/>
            <w:r>
              <w:rPr>
                <w:color w:val="000000"/>
                <w:sz w:val="20"/>
              </w:rPr>
              <w:t>мен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іс-қимыл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Еуразиялық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сүйемелденбейді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бес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</w:t>
            </w:r>
            <w:proofErr w:type="gramStart"/>
            <w:r>
              <w:rPr>
                <w:color w:val="000000"/>
                <w:sz w:val="20"/>
              </w:rPr>
              <w:t>шт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не оны </w:t>
            </w:r>
            <w:proofErr w:type="spellStart"/>
            <w:r>
              <w:rPr>
                <w:color w:val="000000"/>
                <w:sz w:val="20"/>
              </w:rPr>
              <w:t>қараудан</w:t>
            </w:r>
            <w:proofErr w:type="spellEnd"/>
            <w:r>
              <w:rPr>
                <w:color w:val="000000"/>
                <w:sz w:val="20"/>
              </w:rPr>
              <w:t xml:space="preserve"> бас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типтегі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оператор </w:t>
            </w:r>
            <w:proofErr w:type="spellStart"/>
            <w:r>
              <w:rPr>
                <w:color w:val="000000"/>
                <w:sz w:val="20"/>
              </w:rPr>
              <w:t>міндеттерінің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) 532-бабы 1-тармағының 1), 3), 4), 5), 6), 7), 8), 9)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10) </w:t>
            </w:r>
            <w:proofErr w:type="spellStart"/>
            <w:r>
              <w:rPr>
                <w:color w:val="000000"/>
                <w:sz w:val="20"/>
              </w:rPr>
              <w:t>тармақшаларында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3-тармағының 1), 3)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тармақшаларында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оператор </w:t>
            </w:r>
            <w:proofErr w:type="spellStart"/>
            <w:r>
              <w:rPr>
                <w:color w:val="000000"/>
                <w:sz w:val="20"/>
              </w:rPr>
              <w:t>міндеттерінің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оператор </w:t>
            </w:r>
            <w:proofErr w:type="spellStart"/>
            <w:r>
              <w:rPr>
                <w:color w:val="000000"/>
                <w:sz w:val="20"/>
              </w:rPr>
              <w:t>міндеттерінің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кешікті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ілмей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оператор </w:t>
            </w:r>
            <w:proofErr w:type="spellStart"/>
            <w:r>
              <w:rPr>
                <w:color w:val="000000"/>
                <w:sz w:val="20"/>
              </w:rPr>
              <w:t>міндеттерінің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</w:t>
            </w:r>
            <w:proofErr w:type="gramStart"/>
            <w:r>
              <w:rPr>
                <w:color w:val="000000"/>
                <w:sz w:val="20"/>
              </w:rPr>
              <w:t>шт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тоқтатыла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Уәкiлетті</w:t>
            </w:r>
            <w:proofErr w:type="spellEnd"/>
            <w:r>
              <w:rPr>
                <w:color w:val="000000"/>
                <w:sz w:val="20"/>
              </w:rPr>
              <w:t xml:space="preserve"> орган </w:t>
            </w:r>
            <w:proofErr w:type="spellStart"/>
            <w:r>
              <w:rPr>
                <w:color w:val="000000"/>
                <w:sz w:val="20"/>
              </w:rPr>
              <w:t>уәкiлетті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оператор </w:t>
            </w:r>
            <w:proofErr w:type="spellStart"/>
            <w:r>
              <w:rPr>
                <w:color w:val="000000"/>
                <w:sz w:val="20"/>
              </w:rPr>
              <w:t>мiндеттерiнің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тиіс</w:t>
            </w:r>
            <w:proofErr w:type="gramEnd"/>
            <w:r>
              <w:rPr>
                <w:color w:val="000000"/>
                <w:sz w:val="20"/>
              </w:rPr>
              <w:t>інше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он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кешіктірмей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уәкiлетті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тiзiлiміне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беруден</w:t>
            </w:r>
            <w:proofErr w:type="spellEnd"/>
            <w:r>
              <w:rPr>
                <w:color w:val="000000"/>
                <w:sz w:val="20"/>
              </w:rPr>
              <w:t xml:space="preserve"> бас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</w:t>
            </w:r>
            <w:proofErr w:type="gramStart"/>
            <w:r>
              <w:rPr>
                <w:color w:val="000000"/>
                <w:sz w:val="20"/>
              </w:rPr>
              <w:t>шт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толтырылмау</w:t>
            </w:r>
            <w:proofErr w:type="spellEnd"/>
            <w:r>
              <w:rPr>
                <w:color w:val="000000"/>
                <w:sz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құрылымы</w:t>
            </w:r>
            <w:proofErr w:type="spellEnd"/>
            <w:r>
              <w:rPr>
                <w:color w:val="000000"/>
                <w:sz w:val="20"/>
              </w:rPr>
              <w:t xml:space="preserve"> мен форматы </w:t>
            </w:r>
            <w:proofErr w:type="spellStart"/>
            <w:r>
              <w:rPr>
                <w:color w:val="000000"/>
                <w:sz w:val="20"/>
              </w:rPr>
              <w:t>мұндай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құрылымы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форматына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келмейді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2) </w:t>
            </w:r>
            <w:proofErr w:type="spellStart"/>
            <w:r>
              <w:rPr>
                <w:color w:val="000000"/>
                <w:sz w:val="20"/>
              </w:rPr>
              <w:t>өтініште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көрсетпеу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өтіні</w:t>
            </w:r>
            <w:proofErr w:type="gramStart"/>
            <w:r>
              <w:rPr>
                <w:color w:val="000000"/>
                <w:sz w:val="20"/>
              </w:rPr>
              <w:t>шт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534-бабы 7-тармағының 4), 5), 6)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7) </w:t>
            </w:r>
            <w:proofErr w:type="spellStart"/>
            <w:r>
              <w:rPr>
                <w:color w:val="000000"/>
                <w:sz w:val="20"/>
              </w:rPr>
              <w:t>тармақшаларында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беру;</w:t>
            </w:r>
            <w:r>
              <w:br/>
            </w:r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532-бабымен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сақталмаса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proofErr w:type="gramStart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</w:t>
            </w:r>
            <w:proofErr w:type="gramEnd"/>
            <w:r>
              <w:rPr>
                <w:color w:val="000000"/>
                <w:sz w:val="20"/>
              </w:rPr>
              <w:t>аңының</w:t>
            </w:r>
            <w:proofErr w:type="spellEnd"/>
            <w:r>
              <w:rPr>
                <w:color w:val="000000"/>
                <w:sz w:val="20"/>
              </w:rPr>
              <w:t xml:space="preserve"> 19-1-бабында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бас </w:t>
            </w:r>
            <w:proofErr w:type="spellStart"/>
            <w:r>
              <w:rPr>
                <w:color w:val="000000"/>
                <w:sz w:val="20"/>
              </w:rPr>
              <w:t>тартудың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10FC8" w:rsidTr="00BC730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корпорация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де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0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FC8" w:rsidRDefault="00510FC8" w:rsidP="00BC73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портал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бар.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туралы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1414, 8 800 080 777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бар.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gramStart"/>
            <w:r>
              <w:rPr>
                <w:color w:val="000000"/>
                <w:sz w:val="20"/>
              </w:rPr>
              <w:t>қ-</w:t>
            </w:r>
            <w:proofErr w:type="gramEnd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A323FC" w:rsidRPr="00510FC8" w:rsidRDefault="00A323FC" w:rsidP="00510FC8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23FC" w:rsidRDefault="00A323FC" w:rsidP="004B103A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kk-KZ" w:eastAsia="ru-RU"/>
        </w:rPr>
      </w:pPr>
    </w:p>
    <w:sectPr w:rsidR="00A323FC" w:rsidSect="002868AE"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3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58" w:rsidRDefault="00ED3658" w:rsidP="006809F5">
      <w:pPr>
        <w:spacing w:after="0" w:line="240" w:lineRule="auto"/>
      </w:pPr>
      <w:r>
        <w:separator/>
      </w:r>
    </w:p>
  </w:endnote>
  <w:endnote w:type="continuationSeparator" w:id="0">
    <w:p w:rsidR="00ED3658" w:rsidRDefault="00ED3658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A" w:rsidRDefault="00B94F4A">
    <w:pPr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A" w:rsidRDefault="00B94F4A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58" w:rsidRDefault="00ED3658" w:rsidP="006809F5">
      <w:pPr>
        <w:spacing w:after="0" w:line="240" w:lineRule="auto"/>
      </w:pPr>
      <w:r>
        <w:separator/>
      </w:r>
    </w:p>
  </w:footnote>
  <w:footnote w:type="continuationSeparator" w:id="0">
    <w:p w:rsidR="00ED3658" w:rsidRDefault="00ED3658" w:rsidP="0068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9784E0E"/>
    <w:multiLevelType w:val="hybridMultilevel"/>
    <w:tmpl w:val="A5CCED02"/>
    <w:lvl w:ilvl="0" w:tplc="8E98F59A">
      <w:start w:val="2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334A56A7"/>
    <w:multiLevelType w:val="hybridMultilevel"/>
    <w:tmpl w:val="12549D72"/>
    <w:lvl w:ilvl="0" w:tplc="A9CED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022B"/>
    <w:multiLevelType w:val="hybridMultilevel"/>
    <w:tmpl w:val="CFC08BA2"/>
    <w:lvl w:ilvl="0" w:tplc="E99C954A">
      <w:start w:val="4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367D120E"/>
    <w:multiLevelType w:val="hybridMultilevel"/>
    <w:tmpl w:val="B172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01244"/>
    <w:multiLevelType w:val="hybridMultilevel"/>
    <w:tmpl w:val="C970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12642"/>
    <w:multiLevelType w:val="hybridMultilevel"/>
    <w:tmpl w:val="3312835E"/>
    <w:lvl w:ilvl="0" w:tplc="8BB62ACC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1"/>
    <w:rsid w:val="0003136D"/>
    <w:rsid w:val="00047976"/>
    <w:rsid w:val="00054187"/>
    <w:rsid w:val="00065973"/>
    <w:rsid w:val="00070FF6"/>
    <w:rsid w:val="000731B3"/>
    <w:rsid w:val="0009440E"/>
    <w:rsid w:val="000A0BA0"/>
    <w:rsid w:val="000A1201"/>
    <w:rsid w:val="000A592E"/>
    <w:rsid w:val="000C18F5"/>
    <w:rsid w:val="000C5EDF"/>
    <w:rsid w:val="000E248D"/>
    <w:rsid w:val="000E6521"/>
    <w:rsid w:val="0010508C"/>
    <w:rsid w:val="0010772D"/>
    <w:rsid w:val="00111CC7"/>
    <w:rsid w:val="00115428"/>
    <w:rsid w:val="0013124C"/>
    <w:rsid w:val="0013349E"/>
    <w:rsid w:val="00136716"/>
    <w:rsid w:val="00183444"/>
    <w:rsid w:val="0018666B"/>
    <w:rsid w:val="001900C3"/>
    <w:rsid w:val="00192B7B"/>
    <w:rsid w:val="00195C2F"/>
    <w:rsid w:val="001A1AE1"/>
    <w:rsid w:val="001A3483"/>
    <w:rsid w:val="001C3D45"/>
    <w:rsid w:val="001C43F3"/>
    <w:rsid w:val="001D36BA"/>
    <w:rsid w:val="001E1B9D"/>
    <w:rsid w:val="001E1F27"/>
    <w:rsid w:val="001E2787"/>
    <w:rsid w:val="001F3C7D"/>
    <w:rsid w:val="001F5C2F"/>
    <w:rsid w:val="00212F01"/>
    <w:rsid w:val="002370B1"/>
    <w:rsid w:val="00247A62"/>
    <w:rsid w:val="00253E79"/>
    <w:rsid w:val="002621AC"/>
    <w:rsid w:val="0026627D"/>
    <w:rsid w:val="00277574"/>
    <w:rsid w:val="002868AE"/>
    <w:rsid w:val="00297486"/>
    <w:rsid w:val="002A1EB3"/>
    <w:rsid w:val="002A4372"/>
    <w:rsid w:val="002B657B"/>
    <w:rsid w:val="002F5AE9"/>
    <w:rsid w:val="00310D01"/>
    <w:rsid w:val="00322ABF"/>
    <w:rsid w:val="00350B84"/>
    <w:rsid w:val="0037397C"/>
    <w:rsid w:val="0037757B"/>
    <w:rsid w:val="00396076"/>
    <w:rsid w:val="003B4BCB"/>
    <w:rsid w:val="003D4756"/>
    <w:rsid w:val="003D7A51"/>
    <w:rsid w:val="003F2DA7"/>
    <w:rsid w:val="0040537B"/>
    <w:rsid w:val="004171D2"/>
    <w:rsid w:val="0042592E"/>
    <w:rsid w:val="00432ED1"/>
    <w:rsid w:val="00442DD0"/>
    <w:rsid w:val="00462471"/>
    <w:rsid w:val="00471925"/>
    <w:rsid w:val="00472B76"/>
    <w:rsid w:val="00476F25"/>
    <w:rsid w:val="00477248"/>
    <w:rsid w:val="00477E4A"/>
    <w:rsid w:val="0048730C"/>
    <w:rsid w:val="00497D28"/>
    <w:rsid w:val="004B0725"/>
    <w:rsid w:val="004B103A"/>
    <w:rsid w:val="004B1590"/>
    <w:rsid w:val="004C6632"/>
    <w:rsid w:val="004C6998"/>
    <w:rsid w:val="004D363F"/>
    <w:rsid w:val="004E753B"/>
    <w:rsid w:val="004E765D"/>
    <w:rsid w:val="0050610E"/>
    <w:rsid w:val="00510FC8"/>
    <w:rsid w:val="005325BE"/>
    <w:rsid w:val="00554DC1"/>
    <w:rsid w:val="00564DF6"/>
    <w:rsid w:val="00565019"/>
    <w:rsid w:val="005A10D4"/>
    <w:rsid w:val="005A388F"/>
    <w:rsid w:val="005A4AC1"/>
    <w:rsid w:val="005B3E94"/>
    <w:rsid w:val="005C7253"/>
    <w:rsid w:val="005E143F"/>
    <w:rsid w:val="005E714D"/>
    <w:rsid w:val="005F29D2"/>
    <w:rsid w:val="0060327B"/>
    <w:rsid w:val="0061014A"/>
    <w:rsid w:val="00635172"/>
    <w:rsid w:val="00642563"/>
    <w:rsid w:val="00662619"/>
    <w:rsid w:val="00664D2C"/>
    <w:rsid w:val="006809F5"/>
    <w:rsid w:val="00686553"/>
    <w:rsid w:val="006A12E2"/>
    <w:rsid w:val="006B021F"/>
    <w:rsid w:val="006C68B1"/>
    <w:rsid w:val="006D49DF"/>
    <w:rsid w:val="006D4D3C"/>
    <w:rsid w:val="006E088E"/>
    <w:rsid w:val="006E37B9"/>
    <w:rsid w:val="006F4199"/>
    <w:rsid w:val="00710654"/>
    <w:rsid w:val="00713A29"/>
    <w:rsid w:val="00727BA8"/>
    <w:rsid w:val="00730353"/>
    <w:rsid w:val="00736422"/>
    <w:rsid w:val="00745B32"/>
    <w:rsid w:val="0074765A"/>
    <w:rsid w:val="00752C3B"/>
    <w:rsid w:val="0075449F"/>
    <w:rsid w:val="00755FD5"/>
    <w:rsid w:val="00761E46"/>
    <w:rsid w:val="00787A12"/>
    <w:rsid w:val="007965C4"/>
    <w:rsid w:val="007A2AC5"/>
    <w:rsid w:val="007C1BBD"/>
    <w:rsid w:val="007C3DF0"/>
    <w:rsid w:val="007F2338"/>
    <w:rsid w:val="0080134D"/>
    <w:rsid w:val="008050DC"/>
    <w:rsid w:val="00831A52"/>
    <w:rsid w:val="00833441"/>
    <w:rsid w:val="00837A8D"/>
    <w:rsid w:val="00851150"/>
    <w:rsid w:val="0089795C"/>
    <w:rsid w:val="008A036C"/>
    <w:rsid w:val="008B177B"/>
    <w:rsid w:val="008B55C2"/>
    <w:rsid w:val="008C2907"/>
    <w:rsid w:val="00901FE1"/>
    <w:rsid w:val="00905932"/>
    <w:rsid w:val="009209E9"/>
    <w:rsid w:val="009325BF"/>
    <w:rsid w:val="00935CB1"/>
    <w:rsid w:val="0094209A"/>
    <w:rsid w:val="00942527"/>
    <w:rsid w:val="00944F25"/>
    <w:rsid w:val="00952C37"/>
    <w:rsid w:val="00955657"/>
    <w:rsid w:val="00964E9C"/>
    <w:rsid w:val="00997336"/>
    <w:rsid w:val="009A709A"/>
    <w:rsid w:val="009B2047"/>
    <w:rsid w:val="009B2955"/>
    <w:rsid w:val="009B2D6A"/>
    <w:rsid w:val="009B5B52"/>
    <w:rsid w:val="009B6566"/>
    <w:rsid w:val="009D1D5E"/>
    <w:rsid w:val="009E7DDD"/>
    <w:rsid w:val="009F32BC"/>
    <w:rsid w:val="00A0436C"/>
    <w:rsid w:val="00A209F7"/>
    <w:rsid w:val="00A323FC"/>
    <w:rsid w:val="00A523F7"/>
    <w:rsid w:val="00A5287C"/>
    <w:rsid w:val="00A66314"/>
    <w:rsid w:val="00A92BB9"/>
    <w:rsid w:val="00AA0353"/>
    <w:rsid w:val="00AA57C3"/>
    <w:rsid w:val="00AC3F0D"/>
    <w:rsid w:val="00AD5ACD"/>
    <w:rsid w:val="00AE1FA4"/>
    <w:rsid w:val="00B122D4"/>
    <w:rsid w:val="00B20E65"/>
    <w:rsid w:val="00B22C4F"/>
    <w:rsid w:val="00B365F8"/>
    <w:rsid w:val="00B56B69"/>
    <w:rsid w:val="00B752CB"/>
    <w:rsid w:val="00B807F6"/>
    <w:rsid w:val="00B94768"/>
    <w:rsid w:val="00B94F4A"/>
    <w:rsid w:val="00BB072A"/>
    <w:rsid w:val="00BC2835"/>
    <w:rsid w:val="00BC3C19"/>
    <w:rsid w:val="00BE306A"/>
    <w:rsid w:val="00C143C6"/>
    <w:rsid w:val="00C2652A"/>
    <w:rsid w:val="00C50657"/>
    <w:rsid w:val="00C77E88"/>
    <w:rsid w:val="00C96CEA"/>
    <w:rsid w:val="00CA1AE8"/>
    <w:rsid w:val="00CA51D7"/>
    <w:rsid w:val="00CB51DB"/>
    <w:rsid w:val="00CB7C26"/>
    <w:rsid w:val="00CC1FCD"/>
    <w:rsid w:val="00CC30A9"/>
    <w:rsid w:val="00CD4552"/>
    <w:rsid w:val="00CD5548"/>
    <w:rsid w:val="00CE0372"/>
    <w:rsid w:val="00CF06E9"/>
    <w:rsid w:val="00D00EFD"/>
    <w:rsid w:val="00D01CED"/>
    <w:rsid w:val="00D22961"/>
    <w:rsid w:val="00D5553F"/>
    <w:rsid w:val="00D7077F"/>
    <w:rsid w:val="00D80A72"/>
    <w:rsid w:val="00D85927"/>
    <w:rsid w:val="00D93FB3"/>
    <w:rsid w:val="00DA243D"/>
    <w:rsid w:val="00DA3ECD"/>
    <w:rsid w:val="00DA546C"/>
    <w:rsid w:val="00DA76CD"/>
    <w:rsid w:val="00DB6770"/>
    <w:rsid w:val="00DC0542"/>
    <w:rsid w:val="00DE1FE8"/>
    <w:rsid w:val="00DF5681"/>
    <w:rsid w:val="00DF6A44"/>
    <w:rsid w:val="00E0601D"/>
    <w:rsid w:val="00E062A5"/>
    <w:rsid w:val="00E2105A"/>
    <w:rsid w:val="00E22DF1"/>
    <w:rsid w:val="00E23D66"/>
    <w:rsid w:val="00E35390"/>
    <w:rsid w:val="00E55CFC"/>
    <w:rsid w:val="00E704A9"/>
    <w:rsid w:val="00E765AC"/>
    <w:rsid w:val="00E76887"/>
    <w:rsid w:val="00E81573"/>
    <w:rsid w:val="00E85EBB"/>
    <w:rsid w:val="00E95CB6"/>
    <w:rsid w:val="00EA4A8D"/>
    <w:rsid w:val="00EB06A6"/>
    <w:rsid w:val="00EB5544"/>
    <w:rsid w:val="00EB55E0"/>
    <w:rsid w:val="00ED0854"/>
    <w:rsid w:val="00ED3658"/>
    <w:rsid w:val="00EF3E72"/>
    <w:rsid w:val="00EF7A84"/>
    <w:rsid w:val="00F008B4"/>
    <w:rsid w:val="00F10CB7"/>
    <w:rsid w:val="00F2235A"/>
    <w:rsid w:val="00F3120B"/>
    <w:rsid w:val="00F43A04"/>
    <w:rsid w:val="00F46256"/>
    <w:rsid w:val="00F476EF"/>
    <w:rsid w:val="00F514EE"/>
    <w:rsid w:val="00F521E5"/>
    <w:rsid w:val="00F866C9"/>
    <w:rsid w:val="00F87966"/>
    <w:rsid w:val="00F951AC"/>
    <w:rsid w:val="00FD21CE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E37B9"/>
    <w:pPr>
      <w:ind w:left="720"/>
      <w:contextualSpacing/>
    </w:pPr>
  </w:style>
  <w:style w:type="paragraph" w:customStyle="1" w:styleId="1">
    <w:name w:val="Абзац списка1"/>
    <w:basedOn w:val="a"/>
    <w:rsid w:val="0009440E"/>
    <w:pPr>
      <w:ind w:left="720"/>
      <w:contextualSpacing/>
    </w:pPr>
  </w:style>
  <w:style w:type="paragraph" w:customStyle="1" w:styleId="10">
    <w:name w:val="Без интервала1"/>
    <w:rsid w:val="0009440E"/>
    <w:rPr>
      <w:rFonts w:eastAsia="Times New Roman" w:cs="Calibri"/>
      <w:sz w:val="22"/>
      <w:szCs w:val="22"/>
      <w:lang w:eastAsia="en-US"/>
    </w:rPr>
  </w:style>
  <w:style w:type="character" w:customStyle="1" w:styleId="s0">
    <w:name w:val="s0"/>
    <w:rsid w:val="0009440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0">
    <w:name w:val="s20"/>
    <w:rsid w:val="0009440E"/>
    <w:rPr>
      <w:shd w:val="clear" w:color="auto" w:fill="FFFFFF"/>
    </w:rPr>
  </w:style>
  <w:style w:type="paragraph" w:styleId="a9">
    <w:name w:val="No Spacing"/>
    <w:uiPriority w:val="1"/>
    <w:qFormat/>
    <w:rsid w:val="00D5553F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5553F"/>
    <w:rPr>
      <w:rFonts w:ascii="Tahoma" w:eastAsia="Times New Roman" w:hAnsi="Tahoma" w:cs="Tahoma"/>
      <w:sz w:val="16"/>
      <w:szCs w:val="16"/>
      <w:lang w:eastAsia="en-US"/>
    </w:rPr>
  </w:style>
  <w:style w:type="table" w:styleId="ac">
    <w:name w:val="Table Grid"/>
    <w:basedOn w:val="a1"/>
    <w:uiPriority w:val="39"/>
    <w:rsid w:val="0011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111CC7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E37B9"/>
    <w:pPr>
      <w:ind w:left="720"/>
      <w:contextualSpacing/>
    </w:pPr>
  </w:style>
  <w:style w:type="paragraph" w:customStyle="1" w:styleId="1">
    <w:name w:val="Абзац списка1"/>
    <w:basedOn w:val="a"/>
    <w:rsid w:val="0009440E"/>
    <w:pPr>
      <w:ind w:left="720"/>
      <w:contextualSpacing/>
    </w:pPr>
  </w:style>
  <w:style w:type="paragraph" w:customStyle="1" w:styleId="10">
    <w:name w:val="Без интервала1"/>
    <w:rsid w:val="0009440E"/>
    <w:rPr>
      <w:rFonts w:eastAsia="Times New Roman" w:cs="Calibri"/>
      <w:sz w:val="22"/>
      <w:szCs w:val="22"/>
      <w:lang w:eastAsia="en-US"/>
    </w:rPr>
  </w:style>
  <w:style w:type="character" w:customStyle="1" w:styleId="s0">
    <w:name w:val="s0"/>
    <w:rsid w:val="0009440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0">
    <w:name w:val="s20"/>
    <w:rsid w:val="0009440E"/>
    <w:rPr>
      <w:shd w:val="clear" w:color="auto" w:fill="FFFFFF"/>
    </w:rPr>
  </w:style>
  <w:style w:type="paragraph" w:styleId="a9">
    <w:name w:val="No Spacing"/>
    <w:uiPriority w:val="1"/>
    <w:qFormat/>
    <w:rsid w:val="00D5553F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5553F"/>
    <w:rPr>
      <w:rFonts w:ascii="Tahoma" w:eastAsia="Times New Roman" w:hAnsi="Tahoma" w:cs="Tahoma"/>
      <w:sz w:val="16"/>
      <w:szCs w:val="16"/>
      <w:lang w:eastAsia="en-US"/>
    </w:rPr>
  </w:style>
  <w:style w:type="table" w:styleId="ac">
    <w:name w:val="Table Grid"/>
    <w:basedOn w:val="a1"/>
    <w:uiPriority w:val="39"/>
    <w:rsid w:val="0011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111CC7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Бауржан Канатович</dc:creator>
  <cp:lastModifiedBy>Гульдана Мамырбаевна Атабаева</cp:lastModifiedBy>
  <cp:revision>6</cp:revision>
  <cp:lastPrinted>2015-06-16T11:38:00Z</cp:lastPrinted>
  <dcterms:created xsi:type="dcterms:W3CDTF">2020-07-15T17:22:00Z</dcterms:created>
  <dcterms:modified xsi:type="dcterms:W3CDTF">2022-07-29T07:33:00Z</dcterms:modified>
</cp:coreProperties>
</file>