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51"/>
        <w:gridCol w:w="2835"/>
        <w:gridCol w:w="1838"/>
        <w:gridCol w:w="3805"/>
        <w:gridCol w:w="26"/>
      </w:tblGrid>
      <w:tr w:rsidR="00055A5A" w:rsidTr="00055A5A">
        <w:trPr>
          <w:gridAfter w:val="1"/>
          <w:wAfter w:w="26" w:type="dxa"/>
          <w:trHeight w:val="30"/>
          <w:tblCellSpacing w:w="0" w:type="auto"/>
        </w:trPr>
        <w:tc>
          <w:tcPr>
            <w:tcW w:w="552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  <w:bookmarkStart w:id="0" w:name="_GoBack"/>
            <w:bookmarkEnd w:id="0"/>
          </w:p>
        </w:tc>
        <w:tc>
          <w:tcPr>
            <w:tcW w:w="3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Реcпубликасының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2026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ақпандағы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69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8-қосымша</w:t>
            </w:r>
            <w:r>
              <w:br/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055A5A" w:rsidTr="00F755C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кірістер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комитеті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55A5A" w:rsidRPr="0094449B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Pr="0094449B" w:rsidRDefault="00055A5A" w:rsidP="00F755C0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830"/>
            <w:r w:rsidRPr="0094449B">
              <w:rPr>
                <w:color w:val="000000"/>
                <w:sz w:val="20"/>
                <w:lang w:val="ru-RU"/>
              </w:rPr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 портал)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;</w:t>
            </w:r>
          </w:p>
          <w:bookmarkEnd w:id="1"/>
          <w:p w:rsidR="00055A5A" w:rsidRPr="0094449B" w:rsidRDefault="00055A5A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 xml:space="preserve"> 2)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объектілері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,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ақпараттық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жүйесі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арқылы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–"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АЖ). 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bookmarkStart w:id="2" w:name="z83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басшысының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орынбасарының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bookmarkEnd w:id="2"/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уәжделген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Әкімшілік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рәсімдік-процестік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кодексінің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ӘРПК) 73-бабы 2-тармағының 7) </w:t>
            </w:r>
            <w:proofErr w:type="spellStart"/>
            <w:r>
              <w:rPr>
                <w:color w:val="000000"/>
                <w:sz w:val="20"/>
              </w:rPr>
              <w:t>тармақшасына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тыңдауды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асырмай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ақыны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әдістері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55A5A" w:rsidRPr="0094449B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ақпарат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объектілерінің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bookmarkStart w:id="3" w:name="z834"/>
            <w:r>
              <w:rPr>
                <w:color w:val="000000"/>
                <w:sz w:val="20"/>
              </w:rPr>
              <w:t xml:space="preserve"> 1)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bookmarkEnd w:id="3"/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"KEDEN" АЖ –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Кодекске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55A5A" w:rsidRPr="0094449B" w:rsidRDefault="00055A5A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lastRenderedPageBreak/>
              <w:t xml:space="preserve">1)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порталы;</w:t>
            </w:r>
          </w:p>
          <w:p w:rsidR="00055A5A" w:rsidRPr="0094449B" w:rsidRDefault="00055A5A" w:rsidP="00F755C0">
            <w:pPr>
              <w:spacing w:after="20"/>
              <w:ind w:left="20"/>
              <w:jc w:val="both"/>
              <w:rPr>
                <w:lang w:val="ru-RU"/>
              </w:rPr>
            </w:pPr>
            <w:r w:rsidRPr="0094449B">
              <w:rPr>
                <w:color w:val="000000"/>
                <w:sz w:val="20"/>
                <w:lang w:val="ru-RU"/>
              </w:rPr>
              <w:t>2) "</w:t>
            </w:r>
            <w:r>
              <w:rPr>
                <w:color w:val="000000"/>
                <w:sz w:val="20"/>
              </w:rPr>
              <w:t>KEDEN</w:t>
            </w:r>
            <w:r w:rsidRPr="0094449B">
              <w:rPr>
                <w:color w:val="000000"/>
                <w:sz w:val="20"/>
                <w:lang w:val="ru-RU"/>
              </w:rPr>
              <w:t xml:space="preserve">" АЖ </w:t>
            </w:r>
            <w:r>
              <w:rPr>
                <w:color w:val="000000"/>
                <w:sz w:val="20"/>
              </w:rPr>
              <w:t>www</w:t>
            </w:r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keden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 интернет-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ресурстарында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4449B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94449B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bookmarkStart w:id="4" w:name="z838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4"/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Қағиданың</w:t>
            </w:r>
            <w:proofErr w:type="spellEnd"/>
            <w:r>
              <w:rPr>
                <w:color w:val="000000"/>
                <w:sz w:val="20"/>
              </w:rPr>
              <w:t xml:space="preserve"> 2-қосымшасына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азаматтық-құқықтық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қайта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шлюзі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жүйелерден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заңдарымен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негіздемелері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bookmarkStart w:id="5" w:name="z846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мынадай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bookmarkEnd w:id="5"/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мүлкіне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зиян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келтіру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азаматтық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жауапкершілігінің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тәуекелін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Комиссия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әкету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баждары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салынбайтын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экспорттың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рәсімімен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орналастырылатын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тауарларға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операциялар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валюта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еуроға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баламалы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қамтамасыз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кедендік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төлемдерді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салықтарды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демпингке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өтемақы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баждарын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өсімпұлдарды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пайыздарды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шот-фактуралардың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келісімнің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Тізбенің</w:t>
            </w:r>
            <w:proofErr w:type="spellEnd"/>
            <w:r>
              <w:rPr>
                <w:color w:val="000000"/>
                <w:sz w:val="20"/>
              </w:rPr>
              <w:t xml:space="preserve"> 8-тармағында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055A5A" w:rsidTr="00055A5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566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5A5A" w:rsidRDefault="00055A5A" w:rsidP="00F755C0">
            <w:pPr>
              <w:spacing w:after="20"/>
              <w:ind w:left="20"/>
              <w:jc w:val="both"/>
            </w:pPr>
            <w:bookmarkStart w:id="6" w:name="z854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"KEDEN" АЖ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bookmarkEnd w:id="6"/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1414, 8 800 080 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  <w:p w:rsidR="00055A5A" w:rsidRDefault="00055A5A" w:rsidP="00F755C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</w:p>
          <w:p w:rsidR="00055A5A" w:rsidRDefault="00055A5A" w:rsidP="00F755C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</w:p>
        </w:tc>
      </w:tr>
    </w:tbl>
    <w:p w:rsidR="00960C2D" w:rsidRDefault="00960C2D"/>
    <w:sectPr w:rsidR="00960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5A"/>
    <w:rsid w:val="00055A5A"/>
    <w:rsid w:val="009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8BD77-1C56-460E-A13E-FBCA397F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A5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2026-04-15T12:17:00Z</dcterms:created>
  <dcterms:modified xsi:type="dcterms:W3CDTF">2026-04-15T12:18:00Z</dcterms:modified>
</cp:coreProperties>
</file>