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4"/>
        <w:gridCol w:w="2070"/>
        <w:gridCol w:w="1910"/>
        <w:gridCol w:w="4718"/>
        <w:gridCol w:w="43"/>
      </w:tblGrid>
      <w:tr w:rsidR="00F25216" w:rsidTr="00F25216">
        <w:trPr>
          <w:gridAfter w:val="1"/>
          <w:wAfter w:w="25" w:type="dxa"/>
          <w:trHeight w:val="30"/>
          <w:tblCellSpacing w:w="0" w:type="auto"/>
        </w:trPr>
        <w:tc>
          <w:tcPr>
            <w:tcW w:w="462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216" w:rsidRDefault="00F25216" w:rsidP="00F755C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216" w:rsidRDefault="00F25216" w:rsidP="00F755C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Реcпубликасының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Қаржы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2026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ақпандағы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69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6-қосымша</w:t>
            </w:r>
            <w:r>
              <w:br/>
            </w: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тауар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белгілерін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географиялық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нұсқамаларды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белгілері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шығарылған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атауларын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зияткерлік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меншік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объектілерінің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кедендік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тізіліміне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қағидасына</w:t>
            </w:r>
            <w:proofErr w:type="spellEnd"/>
          </w:p>
        </w:tc>
      </w:tr>
      <w:tr w:rsidR="00F25216" w:rsidTr="00F25216">
        <w:trPr>
          <w:gridAfter w:val="1"/>
          <w:wAfter w:w="25" w:type="dxa"/>
          <w:trHeight w:val="30"/>
          <w:tblCellSpacing w:w="0" w:type="auto"/>
        </w:trPr>
        <w:tc>
          <w:tcPr>
            <w:tcW w:w="462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216" w:rsidRDefault="00F25216" w:rsidP="00F755C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216" w:rsidRDefault="00F25216" w:rsidP="00F755C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1-қосымша</w:t>
            </w:r>
          </w:p>
        </w:tc>
      </w:tr>
      <w:tr w:rsidR="00F25216" w:rsidTr="00F755C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216" w:rsidRDefault="00F25216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тауар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белгілерін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географиялық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нұсқамаларды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зияткерлік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меншік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кедендік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</w:tr>
      <w:tr w:rsidR="00F25216" w:rsidTr="00F2521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216" w:rsidRDefault="00F25216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216" w:rsidRDefault="00F25216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722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216" w:rsidRDefault="00F25216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комитеті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</w:tr>
      <w:tr w:rsidR="00F25216" w:rsidRPr="0094449B" w:rsidTr="00F2521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216" w:rsidRDefault="00F25216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216" w:rsidRDefault="00F25216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722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216" w:rsidRPr="0094449B" w:rsidRDefault="00F25216" w:rsidP="00F755C0">
            <w:pPr>
              <w:spacing w:after="20"/>
              <w:ind w:left="20"/>
              <w:jc w:val="both"/>
              <w:rPr>
                <w:lang w:val="ru-RU"/>
              </w:rPr>
            </w:pPr>
            <w:bookmarkStart w:id="0" w:name="z778"/>
            <w:r w:rsidRPr="0094449B">
              <w:rPr>
                <w:color w:val="000000"/>
                <w:sz w:val="20"/>
                <w:lang w:val="ru-RU"/>
              </w:rPr>
              <w:t>1) "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электрондық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үкімет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" веб-порталы </w:t>
            </w:r>
            <w:r>
              <w:rPr>
                <w:color w:val="000000"/>
                <w:sz w:val="20"/>
              </w:rPr>
              <w:t>www</w:t>
            </w:r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бұдан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әрі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– портал)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арқылы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;</w:t>
            </w:r>
          </w:p>
          <w:bookmarkEnd w:id="0"/>
          <w:p w:rsidR="00F25216" w:rsidRPr="0094449B" w:rsidRDefault="00F25216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94449B">
              <w:rPr>
                <w:color w:val="000000"/>
                <w:sz w:val="20"/>
                <w:lang w:val="ru-RU"/>
              </w:rPr>
              <w:t xml:space="preserve">2)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ақпараттық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объектілері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, "</w:t>
            </w:r>
            <w:r>
              <w:rPr>
                <w:color w:val="000000"/>
                <w:sz w:val="20"/>
              </w:rPr>
              <w:t>KEDEN</w:t>
            </w:r>
            <w:r w:rsidRPr="0094449B"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ақпараттық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жүйесі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арқылы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www</w:t>
            </w:r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keden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kgd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бұдан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әрі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– "</w:t>
            </w:r>
            <w:r>
              <w:rPr>
                <w:color w:val="000000"/>
                <w:sz w:val="20"/>
              </w:rPr>
              <w:t>KEDEN</w:t>
            </w:r>
            <w:r w:rsidRPr="0094449B">
              <w:rPr>
                <w:color w:val="000000"/>
                <w:sz w:val="20"/>
                <w:lang w:val="ru-RU"/>
              </w:rPr>
              <w:t>" АЖ).</w:t>
            </w:r>
          </w:p>
        </w:tc>
      </w:tr>
      <w:tr w:rsidR="00F25216" w:rsidTr="00F2521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216" w:rsidRDefault="00F25216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216" w:rsidRDefault="00F25216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мерзімдері</w:t>
            </w:r>
            <w:proofErr w:type="spellEnd"/>
          </w:p>
        </w:tc>
        <w:tc>
          <w:tcPr>
            <w:tcW w:w="722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216" w:rsidRDefault="00F25216" w:rsidP="00F755C0">
            <w:pPr>
              <w:spacing w:after="20"/>
              <w:ind w:left="20"/>
              <w:jc w:val="both"/>
            </w:pPr>
            <w:bookmarkStart w:id="1" w:name="z779"/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сәттен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- 20 (</w:t>
            </w:r>
            <w:proofErr w:type="spellStart"/>
            <w:r>
              <w:rPr>
                <w:color w:val="000000"/>
                <w:sz w:val="20"/>
              </w:rPr>
              <w:t>жиырма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bookmarkEnd w:id="1"/>
          <w:p w:rsidR="00F25216" w:rsidRDefault="00F25216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дұрыстығын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мақсатында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тұлғалардан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сұратуға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мұндай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ұзартады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бірақ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жиырма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аспайды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F25216" w:rsidTr="00F2521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216" w:rsidRDefault="00F25216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216" w:rsidRDefault="00F25216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722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216" w:rsidRDefault="00F25216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</w:tr>
      <w:tr w:rsidR="00F25216" w:rsidTr="00F2521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216" w:rsidRDefault="00F25216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216" w:rsidRDefault="00F25216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722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216" w:rsidRDefault="00F25216" w:rsidP="00F755C0">
            <w:pPr>
              <w:spacing w:after="20"/>
              <w:ind w:left="20"/>
              <w:jc w:val="both"/>
            </w:pPr>
            <w:bookmarkStart w:id="2" w:name="z780"/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алмастыратын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ресімделген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тауар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белгілерін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географиялық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нұсқамаларды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зияткерлік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меншік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кедендік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Тізбенің</w:t>
            </w:r>
            <w:proofErr w:type="spellEnd"/>
            <w:r>
              <w:rPr>
                <w:color w:val="000000"/>
                <w:sz w:val="20"/>
              </w:rPr>
              <w:t xml:space="preserve"> 9-тармағында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негіздемелер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уәжделген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bookmarkEnd w:id="2"/>
          <w:p w:rsidR="00F25216" w:rsidRDefault="00F25216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F25216" w:rsidRDefault="00F25216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1)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Әкімшілік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рәсімдік-процестік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ӘРПК) 73-бабы 2-тармағының 7) </w:t>
            </w:r>
            <w:proofErr w:type="spellStart"/>
            <w:r>
              <w:rPr>
                <w:color w:val="000000"/>
                <w:sz w:val="20"/>
              </w:rPr>
              <w:t>тармақшасына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тыңдауды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асырмай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"KEDEN" АЖ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</w:p>
        </w:tc>
      </w:tr>
      <w:tr w:rsidR="00F25216" w:rsidTr="00F2521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216" w:rsidRDefault="00F25216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216" w:rsidRDefault="00F25216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заңдарымеп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ақыны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әдістері</w:t>
            </w:r>
            <w:proofErr w:type="spellEnd"/>
          </w:p>
        </w:tc>
        <w:tc>
          <w:tcPr>
            <w:tcW w:w="722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216" w:rsidRDefault="00F25216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F25216" w:rsidRPr="0094449B" w:rsidTr="00F2521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216" w:rsidRDefault="00F25216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216" w:rsidRDefault="00F25216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722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216" w:rsidRDefault="00F25216" w:rsidP="00F755C0">
            <w:pPr>
              <w:spacing w:after="20"/>
              <w:ind w:left="20"/>
              <w:jc w:val="both"/>
            </w:pPr>
            <w:bookmarkStart w:id="3" w:name="z782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"KEDEN" АЖ –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ҚР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ҚР </w:t>
            </w:r>
            <w:proofErr w:type="spellStart"/>
            <w:r>
              <w:rPr>
                <w:color w:val="000000"/>
                <w:sz w:val="20"/>
              </w:rPr>
              <w:t>мерекелер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  <w:bookmarkEnd w:id="3"/>
          <w:p w:rsidR="00F25216" w:rsidRDefault="00F25216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</w:p>
          <w:p w:rsidR="00F25216" w:rsidRPr="0094449B" w:rsidRDefault="00F25216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94449B">
              <w:rPr>
                <w:color w:val="000000"/>
                <w:sz w:val="20"/>
                <w:lang w:val="ru-RU"/>
              </w:rPr>
              <w:t xml:space="preserve">1) портала </w:t>
            </w:r>
            <w:r>
              <w:rPr>
                <w:color w:val="000000"/>
                <w:sz w:val="20"/>
              </w:rPr>
              <w:t>www</w:t>
            </w:r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;</w:t>
            </w:r>
          </w:p>
          <w:p w:rsidR="00F25216" w:rsidRPr="0094449B" w:rsidRDefault="00F25216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94449B">
              <w:rPr>
                <w:color w:val="000000"/>
                <w:sz w:val="20"/>
                <w:lang w:val="ru-RU"/>
              </w:rPr>
              <w:t>2) "</w:t>
            </w:r>
            <w:r>
              <w:rPr>
                <w:color w:val="000000"/>
                <w:sz w:val="20"/>
              </w:rPr>
              <w:t>KEDEN</w:t>
            </w:r>
            <w:r w:rsidRPr="0094449B">
              <w:rPr>
                <w:color w:val="000000"/>
                <w:sz w:val="20"/>
                <w:lang w:val="ru-RU"/>
              </w:rPr>
              <w:t xml:space="preserve">" АЖ </w:t>
            </w:r>
            <w:r>
              <w:rPr>
                <w:color w:val="000000"/>
                <w:sz w:val="20"/>
              </w:rPr>
              <w:t>www</w:t>
            </w:r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keden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kgd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</w:p>
        </w:tc>
      </w:tr>
      <w:tr w:rsidR="00F25216" w:rsidTr="00F2521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216" w:rsidRDefault="00F25216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216" w:rsidRDefault="00F25216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F25216" w:rsidRDefault="00F25216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722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216" w:rsidRDefault="00F25216" w:rsidP="00F755C0">
            <w:pPr>
              <w:spacing w:after="20"/>
              <w:ind w:left="20"/>
              <w:jc w:val="both"/>
            </w:pPr>
            <w:bookmarkStart w:id="4" w:name="z785"/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Қағиданың</w:t>
            </w:r>
            <w:proofErr w:type="spellEnd"/>
            <w:r>
              <w:rPr>
                <w:color w:val="000000"/>
                <w:sz w:val="20"/>
              </w:rPr>
              <w:t xml:space="preserve"> 2- </w:t>
            </w:r>
            <w:proofErr w:type="spellStart"/>
            <w:r>
              <w:rPr>
                <w:color w:val="000000"/>
                <w:sz w:val="20"/>
              </w:rPr>
              <w:t>қосымшасына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>, "KEDEN" АЖ:</w:t>
            </w:r>
          </w:p>
          <w:bookmarkEnd w:id="4"/>
          <w:p w:rsidR="00F25216" w:rsidRDefault="00F25216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ЭЦҚ-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Өтінішке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осындай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жүйелерден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іс-қимыл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шеңберінде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ұйымдардың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берілмейді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F25216" w:rsidRDefault="00F25216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Өтінішке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</w:p>
          <w:p w:rsidR="00F25216" w:rsidRDefault="00F25216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зияткерлік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меншік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екендігін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тиесілілігін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түпнұсқалар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нотариат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>) (</w:t>
            </w:r>
            <w:proofErr w:type="spellStart"/>
            <w:r>
              <w:rPr>
                <w:color w:val="000000"/>
                <w:sz w:val="20"/>
              </w:rPr>
              <w:t>куәлік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лицензиялық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зияткерлік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меншік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үзінді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үзінді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иеленуші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иеленушінің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мүдделерін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білдіретін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зияткерлік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меншік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F25216" w:rsidRDefault="00F25216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иеленуші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мүдделерін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білдіретін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сенімхат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F25216" w:rsidRDefault="00F25216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зияткерлік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меншік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бірегей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зияткерлік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меншік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бұзушылық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айырым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бейнелері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</w:p>
          <w:p w:rsidR="00F25216" w:rsidRDefault="00F25216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зияткерлік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меншік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қамтитын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тоқтата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туындауы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зияткерлік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меншік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болжам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жасалған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зияткерлік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меншік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табылмайтыны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анықталса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иеленушінің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иеленушінің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мүдделерін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білдіретін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декларантқа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мүліктік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зиянды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міндеттемесі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F25216" w:rsidRDefault="00F25216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5)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зиян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келтіргені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жауапкершілікті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F25216" w:rsidRDefault="00F25216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Бұл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бюджет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көрсеткіштің</w:t>
            </w:r>
            <w:proofErr w:type="spellEnd"/>
            <w:r>
              <w:rPr>
                <w:color w:val="000000"/>
                <w:sz w:val="20"/>
              </w:rPr>
              <w:t xml:space="preserve"> 1000 </w:t>
            </w:r>
            <w:proofErr w:type="spellStart"/>
            <w:r>
              <w:rPr>
                <w:color w:val="000000"/>
                <w:sz w:val="20"/>
              </w:rPr>
              <w:t>еселенген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F25216" w:rsidRDefault="00F25216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мүддесін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білдіретін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зияткерлік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меншік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зияткерлік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меншік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зияткерлік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меншік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бұзушылық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құқылы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F25216" w:rsidRDefault="00F25216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шлюзі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F25216" w:rsidTr="00F2521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216" w:rsidRDefault="00F25216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216" w:rsidRDefault="00F25216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заңдарымен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негіздемелері</w:t>
            </w:r>
            <w:proofErr w:type="spellEnd"/>
          </w:p>
        </w:tc>
        <w:tc>
          <w:tcPr>
            <w:tcW w:w="722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216" w:rsidRDefault="00F25216" w:rsidP="00F755C0">
            <w:pPr>
              <w:spacing w:after="20"/>
              <w:ind w:left="20"/>
              <w:jc w:val="both"/>
            </w:pPr>
            <w:bookmarkStart w:id="5" w:name="z795"/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1-қосымшаның 8–</w:t>
            </w:r>
            <w:proofErr w:type="spellStart"/>
            <w:r>
              <w:rPr>
                <w:color w:val="000000"/>
                <w:sz w:val="20"/>
              </w:rPr>
              <w:t>тармағында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5"/>
          <w:p w:rsidR="00F25216" w:rsidRDefault="00F25216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1-қосымшаның 8–</w:t>
            </w:r>
            <w:proofErr w:type="spellStart"/>
            <w:r>
              <w:rPr>
                <w:color w:val="000000"/>
                <w:sz w:val="20"/>
              </w:rPr>
              <w:t>тармағында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ұсынбауы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F25216" w:rsidRDefault="00F25216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зияткерлік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меншік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бірегей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зияткерлік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меншік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бұзушылық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айырым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сипаттамалары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бейнелерін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ұсынбауы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негіздемелер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табылады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F25216" w:rsidRDefault="00F25216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анық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F25216" w:rsidRDefault="00F25216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объектілердің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F25216" w:rsidRDefault="00F25216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Заңының</w:t>
            </w:r>
            <w:proofErr w:type="spellEnd"/>
            <w:r>
              <w:rPr>
                <w:color w:val="000000"/>
                <w:sz w:val="20"/>
              </w:rPr>
              <w:t xml:space="preserve"> 8-бабына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F25216" w:rsidTr="00F2521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216" w:rsidRDefault="00F25216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216" w:rsidRDefault="00F25216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ескеріле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722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216" w:rsidRDefault="00F25216" w:rsidP="00F755C0">
            <w:pPr>
              <w:spacing w:after="20"/>
              <w:ind w:left="20"/>
              <w:jc w:val="both"/>
            </w:pPr>
            <w:bookmarkStart w:id="6" w:name="z800"/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1414, 8 800 080 7777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bookmarkEnd w:id="6"/>
          <w:p w:rsidR="00F25216" w:rsidRDefault="00F25216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интернет-ресурсы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www.keden.kgd.gov.kz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қолтаңбасымен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ЭЦҚ)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F25216" w:rsidRDefault="00F25216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сервисі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мобилді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</w:t>
            </w:r>
            <w:proofErr w:type="spellEnd"/>
          </w:p>
          <w:p w:rsidR="00F25216" w:rsidRDefault="00F25216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ЭЦҚ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паролді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мобилді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авторландырудан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бөліміне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</w:tbl>
    <w:p w:rsidR="00960C2D" w:rsidRDefault="00960C2D">
      <w:bookmarkStart w:id="7" w:name="_GoBack"/>
      <w:bookmarkEnd w:id="7"/>
    </w:p>
    <w:sectPr w:rsidR="00960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216"/>
    <w:rsid w:val="00960C2D"/>
    <w:rsid w:val="00F2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7F125-D0CF-4603-9F1E-04602D86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216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Гульдана Мамырбаевна Атабаева</dc:creator>
  <cp:keywords/>
  <dc:description/>
  <cp:lastModifiedBy>Гульдана Мамырбаевна Атабаева</cp:lastModifiedBy>
  <cp:revision>1</cp:revision>
  <dcterms:created xsi:type="dcterms:W3CDTF">2026-04-15T12:15:00Z</dcterms:created>
  <dcterms:modified xsi:type="dcterms:W3CDTF">2026-04-15T12:16:00Z</dcterms:modified>
</cp:coreProperties>
</file>