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D2162D" w:rsidTr="00446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модельдерін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тізілімнен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тастау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D2162D" w:rsidRDefault="00D2162D" w:rsidP="00D2162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"/>
        <w:gridCol w:w="2320"/>
        <w:gridCol w:w="6863"/>
      </w:tblGrid>
      <w:tr w:rsidR="00D2162D" w:rsidTr="0044677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"</w:t>
            </w:r>
            <w:proofErr w:type="spellStart"/>
            <w:r>
              <w:rPr>
                <w:b/>
                <w:color w:val="000000"/>
              </w:rPr>
              <w:t>Бақылау-касса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машиналарының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мемлекеттік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тізіліміне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бақылау-касса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машиналарының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жаңа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модельдерін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енгізу</w:t>
            </w:r>
            <w:proofErr w:type="spellEnd"/>
            <w:r>
              <w:rPr>
                <w:b/>
                <w:color w:val="000000"/>
              </w:rPr>
              <w:t xml:space="preserve">" </w:t>
            </w:r>
            <w:proofErr w:type="spellStart"/>
            <w:r>
              <w:rPr>
                <w:b/>
                <w:color w:val="000000"/>
              </w:rPr>
              <w:t>мемлекеттік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көрсетілетін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қызмет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стандарты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енгізуден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модельдерін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тізілімнен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тастау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Қағидалар</w:t>
            </w:r>
            <w:proofErr w:type="spellEnd"/>
            <w:r>
              <w:rPr>
                <w:color w:val="000000"/>
                <w:sz w:val="20"/>
              </w:rPr>
              <w:t xml:space="preserve">)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эталондық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дайындаушы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дайындаушы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тасымалдағыштағы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нұсқаулық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6) </w:t>
            </w:r>
            <w:proofErr w:type="spellStart"/>
            <w:r>
              <w:rPr>
                <w:color w:val="000000"/>
                <w:sz w:val="20"/>
              </w:rPr>
              <w:t>фискалды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кассаның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</w:t>
            </w:r>
            <w:proofErr w:type="spellEnd"/>
            <w:r>
              <w:rPr>
                <w:color w:val="000000"/>
                <w:sz w:val="20"/>
              </w:rPr>
              <w:t xml:space="preserve"> (Х-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чегінде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166-бабында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егжей-тегжейлі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тасымалдағыштағы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нұсқаулық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7) </w:t>
            </w:r>
            <w:proofErr w:type="spellStart"/>
            <w:r>
              <w:rPr>
                <w:color w:val="000000"/>
                <w:sz w:val="20"/>
              </w:rPr>
              <w:t>дайындаушы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дайындаушы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9)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тасымалдағыштағы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7-тармағында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3-қосымшаға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2162D" w:rsidTr="0044677B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62D" w:rsidRDefault="00D2162D" w:rsidP="0044677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4F2C38" w:rsidRPr="00D2162D" w:rsidRDefault="004F2C38" w:rsidP="00D2162D"/>
    <w:sectPr w:rsidR="004F2C38" w:rsidRPr="00D216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38"/>
    <w:rsid w:val="002718C2"/>
    <w:rsid w:val="002A49E8"/>
    <w:rsid w:val="00401530"/>
    <w:rsid w:val="004F2C38"/>
    <w:rsid w:val="00890F6F"/>
    <w:rsid w:val="00C2396E"/>
    <w:rsid w:val="00D17592"/>
    <w:rsid w:val="00D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18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18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2022-07-29T07:13:00Z</dcterms:created>
  <dcterms:modified xsi:type="dcterms:W3CDTF">2022-07-29T07:13:00Z</dcterms:modified>
</cp:coreProperties>
</file>