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68"/>
        <w:gridCol w:w="2800"/>
        <w:gridCol w:w="365"/>
        <w:gridCol w:w="3396"/>
        <w:gridCol w:w="26"/>
      </w:tblGrid>
      <w:tr w:rsidR="00896BCA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әкелу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",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896BCA" w:rsidRPr="00526D65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0" w:name="z7734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0"/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(ҚКС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896BCA" w:rsidRPr="00526D65" w:rsidRDefault="00896BCA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526D65">
              <w:rPr>
                <w:color w:val="000000"/>
                <w:sz w:val="20"/>
                <w:lang w:val="ru-RU"/>
              </w:rPr>
              <w:t>3) "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;</w:t>
            </w:r>
          </w:p>
          <w:p w:rsidR="00896BCA" w:rsidRPr="00526D65" w:rsidRDefault="00896BCA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526D65">
              <w:rPr>
                <w:color w:val="000000"/>
                <w:sz w:val="20"/>
                <w:lang w:val="ru-RU"/>
              </w:rPr>
              <w:t xml:space="preserve"> 4)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банктік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ұымдардың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мобильді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қосымшалары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), "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Салық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төлеуші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кабинеті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" веб-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қосымшасы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. 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1" w:name="z773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2" w:name="z7739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СЕН)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СЕН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СЕН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жауабы</w:t>
            </w:r>
            <w:proofErr w:type="spellEnd"/>
            <w:r>
              <w:rPr>
                <w:color w:val="000000"/>
                <w:sz w:val="20"/>
              </w:rPr>
              <w:t xml:space="preserve"> (СЕН </w:t>
            </w:r>
            <w:proofErr w:type="spellStart"/>
            <w:r>
              <w:rPr>
                <w:color w:val="000000"/>
                <w:sz w:val="20"/>
              </w:rPr>
              <w:t>ұсынылмаған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3" w:name="z7742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3"/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13.00-ге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knp.kgd.gov.kz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kgd.gov.kz;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gov4c.kz;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веб-қосымшасы</w:t>
            </w:r>
            <w:proofErr w:type="spellEnd"/>
            <w:r>
              <w:rPr>
                <w:color w:val="000000"/>
                <w:sz w:val="20"/>
              </w:rPr>
              <w:t xml:space="preserve"> knp.kgd.gov.kz.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4" w:name="z7752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СЕН.</w:t>
            </w:r>
          </w:p>
          <w:bookmarkEnd w:id="4"/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5" w:name="z7753"/>
            <w:r>
              <w:rPr>
                <w:color w:val="000000"/>
                <w:sz w:val="20"/>
              </w:rPr>
              <w:t xml:space="preserve">1) СЕН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келмесе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5"/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СЕН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СЕН </w:t>
            </w:r>
            <w:proofErr w:type="spellStart"/>
            <w:r>
              <w:rPr>
                <w:color w:val="000000"/>
                <w:sz w:val="20"/>
              </w:rPr>
              <w:t>түрін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көрсетпейді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көрсетпейді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СЕН: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куәландырылмаған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шот-фактуралардың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тізілімдерінсіз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ҚҚС </w:t>
            </w:r>
            <w:proofErr w:type="spellStart"/>
            <w:r>
              <w:rPr>
                <w:color w:val="000000"/>
                <w:sz w:val="20"/>
              </w:rPr>
              <w:t>борйынша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желісінің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шот-фактуралар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бөлінбестен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жасалады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96BCA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BCA" w:rsidRDefault="00896BCA" w:rsidP="00B81968">
            <w:pPr>
              <w:spacing w:after="20"/>
              <w:ind w:left="20"/>
              <w:jc w:val="both"/>
            </w:pPr>
            <w:bookmarkStart w:id="6" w:name="z7761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жоғалтқан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bookmarkEnd w:id="6"/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knp.kgd.gov.kz </w:t>
            </w:r>
            <w:proofErr w:type="spellStart"/>
            <w:r>
              <w:rPr>
                <w:color w:val="000000"/>
                <w:sz w:val="20"/>
              </w:rPr>
              <w:lastRenderedPageBreak/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896BCA" w:rsidRDefault="00896BCA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BA6BE8" w:rsidRDefault="00BA6BE8">
      <w:bookmarkStart w:id="7" w:name="_GoBack"/>
      <w:bookmarkEnd w:id="7"/>
    </w:p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CA"/>
    <w:rsid w:val="00896BCA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D3E60-7B7D-4B3E-8A1B-1F13A083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C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2026-01-22T06:19:00Z</dcterms:created>
  <dcterms:modified xsi:type="dcterms:W3CDTF">2026-01-22T06:20:00Z</dcterms:modified>
</cp:coreProperties>
</file>