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2"/>
        <w:gridCol w:w="3186"/>
        <w:gridCol w:w="1056"/>
        <w:gridCol w:w="4122"/>
        <w:gridCol w:w="39"/>
      </w:tblGrid>
      <w:tr w:rsidR="00E56A88" w:rsidTr="00E56A88">
        <w:trPr>
          <w:gridAfter w:val="1"/>
          <w:wAfter w:w="25" w:type="dxa"/>
          <w:trHeight w:val="30"/>
          <w:tblCellSpacing w:w="0" w:type="auto"/>
        </w:trPr>
        <w:tc>
          <w:tcPr>
            <w:tcW w:w="52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машиналарын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чегінің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12-қосымша</w:t>
            </w:r>
          </w:p>
          <w:p w:rsidR="00E56A88" w:rsidRDefault="00E56A88" w:rsidP="002505EF">
            <w:pPr>
              <w:spacing w:after="0"/>
              <w:jc w:val="center"/>
            </w:pPr>
            <w:bookmarkStart w:id="0" w:name="_GoBack"/>
            <w:bookmarkEnd w:id="0"/>
          </w:p>
        </w:tc>
      </w:tr>
      <w:tr w:rsidR="00E56A88" w:rsidTr="002505E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модельдерін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моделін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bookmarkStart w:id="1" w:name="z572"/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"/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6A88" w:rsidRPr="0088188D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bookmarkStart w:id="2" w:name="z57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7-қосымшаға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моделінің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эталондық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үлгісі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дайындаушы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зауыттың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паспорты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4)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дайындаушы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зауыттың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құжаттамасы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тасымалдағыштағы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пайдалану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нұсқаулық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6)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фискалды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режим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орнату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қайта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фискалдық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есептерді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кассаның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ағымдағы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жай-күйі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есепті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(Х-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есеп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сондай-ақ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чегінде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басып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шығару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машиналарын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чегінің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мазмұнына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талаптардың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Қағида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) 56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тармақта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көзделген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енгізу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кезіндегі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лауазымды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адамының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іс-қимылын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егжей-тегжейлі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сипаттап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көрсететін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lastRenderedPageBreak/>
              <w:t>тасымалдағыштағы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лауазымды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адамына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нұсқаулық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7)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дайындаушы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зауыттың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заңды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өкілінің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моделіне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қолдау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кепілдік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міндеттемесі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нотариат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куәландырған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көшірмесі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8)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дайындаушы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зауыттың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құжаттамасында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моделінің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сипаттамасының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Қағидаларға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13-қосымшаға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уәкілетті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орган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белгілеген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нысан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талаптарға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сәйкестігі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мәліметтер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;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r w:rsidRPr="0088188D">
              <w:rPr>
                <w:color w:val="000000"/>
                <w:sz w:val="20"/>
                <w:lang w:val="ru-RU"/>
              </w:rPr>
              <w:t xml:space="preserve">9)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моделінің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белгіленген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талаптарына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сәйкестігін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растайтын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сәйкестік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сертификатының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QR</w:t>
            </w:r>
            <w:r w:rsidRPr="0088188D">
              <w:rPr>
                <w:color w:val="000000"/>
                <w:sz w:val="20"/>
                <w:lang w:val="ru-RU"/>
              </w:rPr>
              <w:t xml:space="preserve">-код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түрде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өзге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құжаттың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не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жеткізгіште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олардың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нотариат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куәландырған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көшірмесі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.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8188D">
              <w:rPr>
                <w:color w:val="000000"/>
                <w:sz w:val="20"/>
                <w:lang w:val="ru-RU"/>
              </w:rPr>
              <w:t>Егер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машинасының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моделі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фискалдық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тіркеуші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болып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табылса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салықтық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өтінішке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фискалдық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тіркеушіні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дербес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компьютерге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қосу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тасымалдағыштағы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бағдарламалық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ету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қоса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беріледі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56A88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bookmarkStart w:id="3" w:name="z582"/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64-тармағында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63-тармағында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моделінің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13-қосымшаға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56A88" w:rsidRPr="0088188D" w:rsidTr="00E56A8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A88" w:rsidRDefault="00E56A88" w:rsidP="002505EF">
            <w:pPr>
              <w:spacing w:after="20"/>
              <w:ind w:left="20"/>
              <w:jc w:val="both"/>
            </w:pPr>
            <w:bookmarkStart w:id="4" w:name="z584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"/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8188D">
              <w:rPr>
                <w:color w:val="000000"/>
                <w:sz w:val="20"/>
                <w:lang w:val="ru-RU"/>
              </w:rPr>
              <w:t>Бірыңғай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орталығының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телефондары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: 8-800-080-7777, 1414.</w:t>
            </w:r>
          </w:p>
          <w:p w:rsidR="00E56A88" w:rsidRPr="0088188D" w:rsidRDefault="00E56A88" w:rsidP="002505E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8188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орнының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мекенжайы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ресурстарында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8188D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88188D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3028ED" w:rsidRPr="00E56A88" w:rsidRDefault="003028ED">
      <w:pPr>
        <w:rPr>
          <w:lang w:val="ru-RU"/>
        </w:rPr>
      </w:pPr>
    </w:p>
    <w:sectPr w:rsidR="003028ED" w:rsidRPr="00E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88"/>
    <w:rsid w:val="003028ED"/>
    <w:rsid w:val="00E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3D8C"/>
  <w15:chartTrackingRefBased/>
  <w15:docId w15:val="{89AA6DF1-3FC5-4600-A8DB-BA7486C5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8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2026-01-23T05:26:00Z</dcterms:created>
  <dcterms:modified xsi:type="dcterms:W3CDTF">2026-01-23T05:27:00Z</dcterms:modified>
</cp:coreProperties>
</file>