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A4921">
        <w:rPr>
          <w:rFonts w:eastAsia="Calibri"/>
          <w:i w:val="0"/>
          <w:sz w:val="24"/>
          <w:szCs w:val="24"/>
          <w:lang w:val="kk-KZ"/>
        </w:rPr>
        <w:t>Күршім ауданы</w:t>
      </w:r>
      <w:r w:rsidRPr="00983C7A">
        <w:rPr>
          <w:rFonts w:eastAsia="Calibri"/>
          <w:i w:val="0"/>
          <w:sz w:val="24"/>
          <w:szCs w:val="24"/>
          <w:lang w:val="kk-KZ"/>
        </w:rPr>
        <w:t xml:space="preserve">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5B170F">
        <w:rPr>
          <w:i w:val="0"/>
          <w:color w:val="000000"/>
          <w:sz w:val="24"/>
          <w:szCs w:val="24"/>
          <w:lang w:val="kk-KZ"/>
        </w:rPr>
        <w:t>.</w:t>
      </w:r>
    </w:p>
    <w:p w:rsidR="00916A3A" w:rsidRPr="009431B7" w:rsidRDefault="00916A3A" w:rsidP="00916A3A">
      <w:pPr>
        <w:rPr>
          <w:i w:val="0"/>
          <w:sz w:val="24"/>
          <w:szCs w:val="24"/>
          <w:lang w:val="kk-KZ"/>
        </w:rPr>
      </w:pPr>
    </w:p>
    <w:p w:rsidR="000A4921" w:rsidRPr="000A4921" w:rsidRDefault="00916A3A" w:rsidP="000A4921">
      <w:pPr>
        <w:jc w:val="both"/>
        <w:rPr>
          <w:b w:val="0"/>
          <w:i w:val="0"/>
          <w:sz w:val="24"/>
          <w:szCs w:val="24"/>
          <w:lang w:val="kk-KZ"/>
        </w:rPr>
      </w:pPr>
      <w:r w:rsidRPr="00983C7A">
        <w:rPr>
          <w:rFonts w:eastAsia="Calibri"/>
          <w:i w:val="0"/>
          <w:sz w:val="24"/>
          <w:szCs w:val="24"/>
          <w:lang w:val="kk-KZ"/>
        </w:rPr>
        <w:t xml:space="preserve"> </w:t>
      </w:r>
      <w:r w:rsidR="000A4921" w:rsidRPr="000A4921">
        <w:rPr>
          <w:i w:val="0"/>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000A4921" w:rsidRPr="000A4921">
          <w:rPr>
            <w:rStyle w:val="a6"/>
            <w:rFonts w:ascii="Times New Roman" w:hAnsi="Times New Roman" w:cs="Times New Roman"/>
            <w:i w:val="0"/>
            <w:sz w:val="24"/>
            <w:szCs w:val="24"/>
            <w:lang w:val="kk-KZ"/>
          </w:rPr>
          <w:t>kadr_1806@taxeast.mgd.kz</w:t>
        </w:r>
      </w:hyperlink>
    </w:p>
    <w:p w:rsidR="008B0E06" w:rsidRPr="00983C7A" w:rsidRDefault="008B0E06" w:rsidP="000A4921">
      <w:pPr>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1B77C5" w:rsidRPr="00060156" w:rsidRDefault="001B77C5" w:rsidP="001B77C5">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995985" w:rsidRDefault="00995985" w:rsidP="001B77C5">
      <w:pPr>
        <w:pStyle w:val="2"/>
        <w:spacing w:after="0" w:line="240" w:lineRule="auto"/>
        <w:ind w:left="0" w:right="-81"/>
        <w:jc w:val="both"/>
        <w:rPr>
          <w:i/>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0A4921" w:rsidRPr="000A4921" w:rsidRDefault="000A4921" w:rsidP="000A4921">
      <w:pPr>
        <w:pStyle w:val="14"/>
        <w:ind w:right="198"/>
        <w:jc w:val="both"/>
        <w:rPr>
          <w:i w:val="0"/>
          <w:sz w:val="24"/>
          <w:szCs w:val="24"/>
          <w:lang w:val="kk-KZ" w:eastAsia="en-US"/>
        </w:rPr>
      </w:pPr>
      <w:r w:rsidRPr="000A4921">
        <w:rPr>
          <w:i w:val="0"/>
          <w:iCs/>
          <w:sz w:val="24"/>
          <w:szCs w:val="24"/>
          <w:lang w:val="kk-KZ"/>
        </w:rPr>
        <w:t>1.</w:t>
      </w:r>
      <w:r w:rsidRPr="000A4921">
        <w:rPr>
          <w:i w:val="0"/>
          <w:sz w:val="24"/>
          <w:szCs w:val="24"/>
          <w:lang w:val="kk-KZ"/>
        </w:rPr>
        <w:t xml:space="preserve">Күршім ауданы бойынша Мемлекеттік кірістер басқармасының </w:t>
      </w:r>
      <w:r w:rsidRPr="000A4921">
        <w:rPr>
          <w:i w:val="0"/>
          <w:color w:val="000000"/>
          <w:sz w:val="24"/>
          <w:szCs w:val="24"/>
          <w:lang w:val="kk-KZ"/>
        </w:rPr>
        <w:t>«</w:t>
      </w:r>
      <w:r w:rsidRPr="000A4921">
        <w:rPr>
          <w:bCs/>
          <w:i w:val="0"/>
          <w:iCs/>
          <w:sz w:val="24"/>
          <w:szCs w:val="24"/>
          <w:lang w:val="kk-KZ"/>
        </w:rPr>
        <w:t>Салық төлеушілермен жұмыс</w:t>
      </w:r>
      <w:r w:rsidRPr="000A4921">
        <w:rPr>
          <w:i w:val="0"/>
          <w:color w:val="000000"/>
          <w:sz w:val="24"/>
          <w:szCs w:val="24"/>
          <w:lang w:val="kk-KZ"/>
        </w:rPr>
        <w:t>» бөлімінің бас маманы</w:t>
      </w:r>
      <w:r w:rsidRPr="000A4921">
        <w:rPr>
          <w:i w:val="0"/>
          <w:sz w:val="24"/>
          <w:szCs w:val="24"/>
          <w:lang w:val="kk-KZ"/>
        </w:rPr>
        <w:t>, (уақытша, негізгі қызметкердің бала күтіміне байланысты демалысы мерзіміне  30.06.2020 жылға дейін</w:t>
      </w:r>
      <w:r>
        <w:rPr>
          <w:i w:val="0"/>
          <w:sz w:val="24"/>
          <w:szCs w:val="24"/>
          <w:lang w:val="kk-KZ"/>
        </w:rPr>
        <w:t>)</w:t>
      </w:r>
      <w:r w:rsidRPr="000A4921">
        <w:rPr>
          <w:i w:val="0"/>
          <w:sz w:val="24"/>
          <w:szCs w:val="24"/>
          <w:lang w:val="kk-KZ"/>
        </w:rPr>
        <w:t xml:space="preserve"> , </w:t>
      </w:r>
      <w:r w:rsidRPr="000A4921">
        <w:rPr>
          <w:i w:val="0"/>
          <w:iCs/>
          <w:sz w:val="24"/>
          <w:szCs w:val="24"/>
          <w:lang w:val="kk-KZ" w:eastAsia="ko-KR"/>
        </w:rPr>
        <w:t>С</w:t>
      </w:r>
      <w:r w:rsidRPr="000A4921">
        <w:rPr>
          <w:i w:val="0"/>
          <w:iCs/>
          <w:sz w:val="24"/>
          <w:szCs w:val="24"/>
          <w:lang w:val="kk-KZ"/>
        </w:rPr>
        <w:t>-R</w:t>
      </w:r>
      <w:r w:rsidRPr="000A4921">
        <w:rPr>
          <w:i w:val="0"/>
          <w:sz w:val="24"/>
          <w:szCs w:val="24"/>
          <w:lang w:val="kk-KZ"/>
        </w:rPr>
        <w:t xml:space="preserve"> -4 санаты,  (1 бірлік).   </w:t>
      </w:r>
    </w:p>
    <w:p w:rsidR="000A4921" w:rsidRPr="000A4921" w:rsidRDefault="000A4921" w:rsidP="000A4921">
      <w:pPr>
        <w:shd w:val="clear" w:color="auto" w:fill="FFFFFF"/>
        <w:jc w:val="both"/>
        <w:rPr>
          <w:b w:val="0"/>
          <w:i w:val="0"/>
          <w:sz w:val="24"/>
          <w:szCs w:val="24"/>
          <w:lang w:val="kk-KZ"/>
        </w:rPr>
      </w:pPr>
      <w:r w:rsidRPr="000A4921">
        <w:rPr>
          <w:b w:val="0"/>
          <w:i w:val="0"/>
          <w:sz w:val="24"/>
          <w:szCs w:val="24"/>
          <w:lang w:val="kk-KZ"/>
        </w:rPr>
        <w:tab/>
      </w:r>
    </w:p>
    <w:p w:rsidR="000A4921" w:rsidRPr="000A4921" w:rsidRDefault="000A4921" w:rsidP="000A4921">
      <w:pPr>
        <w:shd w:val="clear" w:color="auto" w:fill="FFFFFF"/>
        <w:jc w:val="both"/>
        <w:rPr>
          <w:b w:val="0"/>
          <w:bCs w:val="0"/>
          <w:i w:val="0"/>
          <w:sz w:val="24"/>
          <w:szCs w:val="24"/>
          <w:lang w:val="kk-KZ"/>
        </w:rPr>
      </w:pPr>
      <w:r w:rsidRPr="000A4921">
        <w:rPr>
          <w:i w:val="0"/>
          <w:sz w:val="24"/>
          <w:szCs w:val="24"/>
          <w:lang w:val="kk-KZ"/>
        </w:rPr>
        <w:t>Қызметтік</w:t>
      </w:r>
      <w:r w:rsidRPr="000A4921">
        <w:rPr>
          <w:i w:val="0"/>
          <w:color w:val="000000"/>
          <w:sz w:val="24"/>
          <w:szCs w:val="24"/>
          <w:lang w:val="kk-KZ"/>
        </w:rPr>
        <w:t xml:space="preserve"> міндеттері:</w:t>
      </w:r>
      <w:r w:rsidRPr="000A4921">
        <w:rPr>
          <w:b w:val="0"/>
          <w:i w:val="0"/>
          <w:sz w:val="24"/>
          <w:szCs w:val="24"/>
          <w:lang w:val="kk-KZ"/>
        </w:rPr>
        <w:t xml:space="preserve">  Мемлекеттік кірістер органдарымен көрсетілетін мемлекеттік қызметтің уақтылы және сапалы көрсетілуіне бақылау жасау,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асыру;салықтық–құқықтық қатынастардан шығатын бірінші; екінші инстанциядағы азаматтық, әкімшілік, қылмыстық істер бойынша соттарға қатысу ,салық төлеушілердің жеке шоттарын түгендеу; </w:t>
      </w:r>
      <w:hyperlink r:id="rId6" w:history="1">
        <w:r w:rsidRPr="000A4921">
          <w:rPr>
            <w:rStyle w:val="a6"/>
            <w:rFonts w:ascii="Times New Roman" w:hAnsi="Times New Roman" w:cs="Times New Roman"/>
            <w:b w:val="0"/>
            <w:i w:val="0"/>
            <w:color w:val="000000" w:themeColor="text1"/>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Pr="000A4921">
        <w:rPr>
          <w:b w:val="0"/>
          <w:i w:val="0"/>
          <w:sz w:val="24"/>
          <w:szCs w:val="24"/>
          <w:lang w:val="kk-KZ"/>
        </w:rPr>
        <w:t>ды жүзеге асыру.    бөлімінің белгіленген есептілігінің, жоғары салық органдарының, Күршім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0A4921">
        <w:rPr>
          <w:b w:val="0"/>
          <w:i w:val="0"/>
          <w:spacing w:val="3"/>
          <w:sz w:val="24"/>
          <w:szCs w:val="24"/>
          <w:lang w:val="kk-KZ"/>
        </w:rPr>
        <w:t xml:space="preserve"> Б</w:t>
      </w:r>
      <w:r w:rsidRPr="000A492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ыбайлас-жемқорлық әрекеттерінің алдын алу  бойынша  шаралар қолдану,мемлекеттік қызметшілердің Этикалық кодексін, еңбек және орындаушылық тәртіпті сақтау, қауіпсіздік ережелерін сақтау</w:t>
      </w:r>
      <w:r w:rsidRPr="000A4921">
        <w:rPr>
          <w:b w:val="0"/>
          <w:i w:val="0"/>
          <w:spacing w:val="3"/>
          <w:sz w:val="24"/>
          <w:szCs w:val="24"/>
          <w:lang w:val="kk-KZ"/>
        </w:rPr>
        <w:t xml:space="preserve"> </w:t>
      </w:r>
      <w:r w:rsidRPr="000A4921">
        <w:rPr>
          <w:b w:val="0"/>
          <w:i w:val="0"/>
          <w:sz w:val="24"/>
          <w:szCs w:val="24"/>
          <w:lang w:val="kk-KZ"/>
        </w:rPr>
        <w:t>Лауазымдық нұсқаулыққа сәйкес басқа функцияларды жүзеге  асыру.</w:t>
      </w:r>
    </w:p>
    <w:p w:rsidR="000A4921" w:rsidRPr="000A4921" w:rsidRDefault="000A4921" w:rsidP="000A4921">
      <w:pPr>
        <w:shd w:val="clear" w:color="auto" w:fill="FFFFFF"/>
        <w:jc w:val="both"/>
        <w:rPr>
          <w:b w:val="0"/>
          <w:i w:val="0"/>
          <w:iCs w:val="0"/>
          <w:sz w:val="24"/>
          <w:szCs w:val="24"/>
          <w:lang w:val="kk-KZ"/>
        </w:rPr>
      </w:pPr>
      <w:r w:rsidRPr="000A4921">
        <w:rPr>
          <w:i w:val="0"/>
          <w:color w:val="000000"/>
          <w:sz w:val="24"/>
          <w:szCs w:val="24"/>
          <w:lang w:val="kk-KZ"/>
        </w:rPr>
        <w:t>Конкурсқа қатысушыларға қойылатын талаптар:</w:t>
      </w:r>
      <w:r w:rsidRPr="000A4921">
        <w:rPr>
          <w:b w:val="0"/>
          <w:i w:val="0"/>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саласындағы мамандықтар (экономикалық, қаржы, МЖБ), есеп және аудит  немесе Құқық саласындағы </w:t>
      </w:r>
      <w:r w:rsidRPr="000A4921">
        <w:rPr>
          <w:b w:val="0"/>
          <w:i w:val="0"/>
          <w:sz w:val="24"/>
          <w:szCs w:val="24"/>
          <w:lang w:val="kk-KZ"/>
        </w:rPr>
        <w:lastRenderedPageBreak/>
        <w:t xml:space="preserve">мамандықтар (юриспруденция), мамандықтары бойынша білім қажет </w:t>
      </w:r>
    </w:p>
    <w:p w:rsidR="005E309D" w:rsidRPr="005E309D" w:rsidRDefault="005E309D" w:rsidP="005E309D">
      <w:pPr>
        <w:shd w:val="clear" w:color="auto" w:fill="FFFFFF"/>
        <w:jc w:val="both"/>
        <w:rPr>
          <w:i w:val="0"/>
          <w:sz w:val="24"/>
          <w:szCs w:val="24"/>
          <w:lang w:val="kk-KZ" w:eastAsia="en-US"/>
        </w:rPr>
      </w:pPr>
      <w:r w:rsidRPr="005E309D">
        <w:rPr>
          <w:i w:val="0"/>
          <w:sz w:val="24"/>
          <w:szCs w:val="24"/>
          <w:lang w:val="kk-KZ"/>
        </w:rPr>
        <w:t>2</w:t>
      </w:r>
      <w:r w:rsidRPr="005E309D">
        <w:rPr>
          <w:i w:val="0"/>
          <w:sz w:val="24"/>
          <w:szCs w:val="24"/>
          <w:lang w:val="kk-KZ"/>
        </w:rPr>
        <w:t xml:space="preserve">.Күршім ауданы бойынша Мемлекеттік кірістер басқармасының </w:t>
      </w:r>
      <w:r w:rsidRPr="005E309D">
        <w:rPr>
          <w:i w:val="0"/>
          <w:color w:val="000000"/>
          <w:sz w:val="24"/>
          <w:szCs w:val="24"/>
          <w:lang w:val="kk-KZ"/>
        </w:rPr>
        <w:t>«</w:t>
      </w:r>
      <w:r w:rsidRPr="005E309D">
        <w:rPr>
          <w:i w:val="0"/>
          <w:sz w:val="24"/>
          <w:szCs w:val="24"/>
          <w:lang w:val="kk-KZ"/>
        </w:rPr>
        <w:t>Салықтық бақылау және өндіріп алу</w:t>
      </w:r>
      <w:r w:rsidRPr="005E309D">
        <w:rPr>
          <w:i w:val="0"/>
          <w:color w:val="000000"/>
          <w:sz w:val="24"/>
          <w:szCs w:val="24"/>
          <w:lang w:val="kk-KZ"/>
        </w:rPr>
        <w:t>» бөлімінің бас маманы</w:t>
      </w:r>
      <w:r w:rsidRPr="005E309D">
        <w:rPr>
          <w:i w:val="0"/>
          <w:sz w:val="24"/>
          <w:szCs w:val="24"/>
          <w:lang w:val="kk-KZ"/>
        </w:rPr>
        <w:t xml:space="preserve">, </w:t>
      </w:r>
      <w:r w:rsidRPr="005E309D">
        <w:rPr>
          <w:i w:val="0"/>
          <w:sz w:val="24"/>
          <w:szCs w:val="24"/>
          <w:lang w:val="kk-KZ" w:eastAsia="ko-KR"/>
        </w:rPr>
        <w:t>С</w:t>
      </w:r>
      <w:r w:rsidRPr="005E309D">
        <w:rPr>
          <w:i w:val="0"/>
          <w:sz w:val="24"/>
          <w:szCs w:val="24"/>
          <w:lang w:val="kk-KZ"/>
        </w:rPr>
        <w:t xml:space="preserve">-R -4 санаты,  (1 бірлік).   </w:t>
      </w:r>
    </w:p>
    <w:p w:rsidR="005E309D" w:rsidRPr="005E309D" w:rsidRDefault="005E309D" w:rsidP="005E309D">
      <w:pPr>
        <w:pStyle w:val="8"/>
        <w:jc w:val="both"/>
        <w:rPr>
          <w:rFonts w:ascii="Times New Roman" w:hAnsi="Times New Roman" w:cs="Times New Roman"/>
          <w:color w:val="auto"/>
          <w:sz w:val="24"/>
          <w:szCs w:val="24"/>
          <w:lang w:val="kk-KZ"/>
        </w:rPr>
      </w:pPr>
      <w:r w:rsidRPr="005E309D">
        <w:rPr>
          <w:rFonts w:ascii="Times New Roman" w:hAnsi="Times New Roman" w:cs="Times New Roman"/>
          <w:b/>
          <w:sz w:val="24"/>
          <w:szCs w:val="24"/>
          <w:lang w:val="kk-KZ"/>
        </w:rPr>
        <w:tab/>
        <w:t>Қызметтік</w:t>
      </w:r>
      <w:r w:rsidRPr="005E309D">
        <w:rPr>
          <w:rFonts w:ascii="Times New Roman" w:hAnsi="Times New Roman" w:cs="Times New Roman"/>
          <w:b/>
          <w:color w:val="000000"/>
          <w:sz w:val="24"/>
          <w:szCs w:val="24"/>
          <w:lang w:val="kk-KZ"/>
        </w:rPr>
        <w:t xml:space="preserve"> міндеттері:</w:t>
      </w:r>
      <w:r w:rsidRPr="005E309D">
        <w:rPr>
          <w:rFonts w:ascii="Times New Roman" w:hAnsi="Times New Roman" w:cs="Times New Roman"/>
          <w:b/>
          <w:sz w:val="24"/>
          <w:szCs w:val="24"/>
          <w:lang w:val="kk-KZ"/>
        </w:rPr>
        <w:t xml:space="preserve">  </w:t>
      </w:r>
      <w:r w:rsidRPr="005E309D">
        <w:rPr>
          <w:rFonts w:ascii="Times New Roman" w:hAnsi="Times New Roman" w:cs="Times New Roman"/>
          <w:color w:val="auto"/>
          <w:sz w:val="24"/>
          <w:szCs w:val="24"/>
          <w:lang w:val="kk-KZ"/>
        </w:rPr>
        <w:t xml:space="preserve">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5E309D">
        <w:rPr>
          <w:rFonts w:ascii="Times New Roman" w:hAnsi="Times New Roman" w:cs="Times New Roman"/>
          <w:iCs/>
          <w:color w:val="auto"/>
          <w:sz w:val="24"/>
          <w:szCs w:val="24"/>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5E309D">
        <w:rPr>
          <w:rFonts w:ascii="Times New Roman" w:hAnsi="Times New Roman" w:cs="Times New Roman"/>
          <w:color w:val="auto"/>
          <w:sz w:val="24"/>
          <w:szCs w:val="24"/>
          <w:lang w:val="kk-KZ"/>
        </w:rPr>
        <w:t xml:space="preserve"> Сапалы салықтық тексерулер жүргізу (тематикалық, қарсы, хронометраждық  тексеру); 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5E309D">
        <w:rPr>
          <w:rFonts w:ascii="Times New Roman" w:hAnsi="Times New Roman" w:cs="Times New Roman"/>
          <w:iCs/>
          <w:color w:val="auto"/>
          <w:sz w:val="24"/>
          <w:szCs w:val="24"/>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w:t>
      </w:r>
      <w:r w:rsidRPr="005E309D">
        <w:rPr>
          <w:rFonts w:ascii="Times New Roman" w:hAnsi="Times New Roman" w:cs="Times New Roman"/>
          <w:color w:val="auto"/>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қатысу,бөлімнің белгіленген есептілігінің, жоғары салық 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5E309D">
        <w:rPr>
          <w:rFonts w:ascii="Times New Roman" w:hAnsi="Times New Roman" w:cs="Times New Roman"/>
          <w:color w:val="auto"/>
          <w:spacing w:val="3"/>
          <w:sz w:val="24"/>
          <w:szCs w:val="24"/>
          <w:lang w:val="kk-KZ"/>
        </w:rPr>
        <w:t xml:space="preserve">  б</w:t>
      </w:r>
      <w:r w:rsidRPr="005E309D">
        <w:rPr>
          <w:rFonts w:ascii="Times New Roman" w:hAnsi="Times New Roman" w:cs="Times New Roman"/>
          <w:color w:val="auto"/>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w:t>
      </w:r>
      <w:r w:rsidRPr="005E309D">
        <w:rPr>
          <w:rFonts w:ascii="Times New Roman" w:hAnsi="Times New Roman" w:cs="Times New Roman"/>
          <w:color w:val="auto"/>
          <w:spacing w:val="3"/>
          <w:sz w:val="24"/>
          <w:szCs w:val="24"/>
          <w:lang w:val="kk-KZ"/>
        </w:rPr>
        <w:t xml:space="preserve"> </w:t>
      </w:r>
      <w:r w:rsidRPr="005E309D">
        <w:rPr>
          <w:rFonts w:ascii="Times New Roman" w:hAnsi="Times New Roman" w:cs="Times New Roman"/>
          <w:color w:val="auto"/>
          <w:sz w:val="24"/>
          <w:szCs w:val="24"/>
          <w:lang w:val="kk-KZ"/>
        </w:rPr>
        <w:t>Лауазымдық нұсқаулыққа сәйкес басқа функцияларды жүзеге  асыру.</w:t>
      </w:r>
    </w:p>
    <w:p w:rsidR="005E309D" w:rsidRPr="005E309D" w:rsidRDefault="005E309D" w:rsidP="005E309D">
      <w:pPr>
        <w:jc w:val="both"/>
        <w:rPr>
          <w:b w:val="0"/>
          <w:i w:val="0"/>
          <w:sz w:val="22"/>
          <w:szCs w:val="22"/>
          <w:lang w:val="kk-KZ"/>
        </w:rPr>
      </w:pPr>
      <w:r w:rsidRPr="005E309D">
        <w:rPr>
          <w:i w:val="0"/>
          <w:color w:val="000000"/>
          <w:sz w:val="24"/>
          <w:szCs w:val="24"/>
          <w:lang w:val="kk-KZ"/>
        </w:rPr>
        <w:t>Конкурсқа қатысушыларға қойылатын талаптар</w:t>
      </w:r>
      <w:r w:rsidRPr="005E309D">
        <w:rPr>
          <w:b w:val="0"/>
          <w:i w:val="0"/>
          <w:color w:val="000000"/>
          <w:sz w:val="24"/>
          <w:szCs w:val="24"/>
          <w:lang w:val="kk-KZ"/>
        </w:rPr>
        <w:t>:</w:t>
      </w:r>
      <w:r w:rsidRPr="005E309D">
        <w:rPr>
          <w:b w:val="0"/>
          <w:i w:val="0"/>
          <w:sz w:val="24"/>
          <w:szCs w:val="24"/>
          <w:lang w:val="kk-KZ"/>
        </w:rPr>
        <w:t xml:space="preserve">       </w:t>
      </w:r>
      <w:r w:rsidRPr="005E309D">
        <w:rPr>
          <w:b w:val="0"/>
          <w:i w:val="0"/>
          <w:sz w:val="22"/>
          <w:szCs w:val="22"/>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«Ә</w:t>
      </w:r>
      <w:r w:rsidRPr="005E309D">
        <w:rPr>
          <w:b w:val="0"/>
          <w:bCs w:val="0"/>
          <w:i w:val="0"/>
          <w:sz w:val="22"/>
          <w:szCs w:val="22"/>
          <w:lang w:val="kk-KZ"/>
        </w:rPr>
        <w:t xml:space="preserve">леуметтік ғылымдар, экономика және бизнес» (экономика, қаржы, менеджмент, мемлекеттік және жергілікті басқару, есеп және аудит), «Құқық» / </w:t>
      </w:r>
      <w:r w:rsidRPr="005E309D">
        <w:rPr>
          <w:b w:val="0"/>
          <w:i w:val="0"/>
          <w:sz w:val="22"/>
          <w:szCs w:val="22"/>
          <w:lang w:val="kk-KZ"/>
        </w:rPr>
        <w:t>«Сервис, экономика және басқару» (есеп және аудит (салалар бойынша), экономика  (салалар бойынша), қаржы (салалар бойынша)), «Құқық»</w:t>
      </w:r>
      <w:r w:rsidRPr="005E309D">
        <w:rPr>
          <w:b w:val="0"/>
          <w:bCs w:val="0"/>
          <w:i w:val="0"/>
          <w:sz w:val="22"/>
          <w:szCs w:val="22"/>
          <w:lang w:val="kk-KZ"/>
        </w:rPr>
        <w:t xml:space="preserve"> мамандықтары бойынша білім қажет</w:t>
      </w:r>
      <w:r w:rsidRPr="005E309D">
        <w:rPr>
          <w:b w:val="0"/>
          <w:i w:val="0"/>
          <w:sz w:val="22"/>
          <w:szCs w:val="22"/>
          <w:lang w:val="kk-KZ"/>
        </w:rPr>
        <w:t>.</w:t>
      </w:r>
    </w:p>
    <w:p w:rsidR="005E309D" w:rsidRPr="005E309D" w:rsidRDefault="005E309D" w:rsidP="005E309D">
      <w:pPr>
        <w:shd w:val="clear" w:color="auto" w:fill="FFFFFF"/>
        <w:jc w:val="both"/>
        <w:rPr>
          <w:b w:val="0"/>
          <w:i w:val="0"/>
          <w:iCs w:val="0"/>
          <w:sz w:val="24"/>
          <w:szCs w:val="24"/>
          <w:lang w:val="kk-KZ"/>
        </w:rPr>
      </w:pPr>
    </w:p>
    <w:p w:rsidR="008D0CC2" w:rsidRPr="009B428C" w:rsidRDefault="008D0CC2" w:rsidP="00764E92">
      <w:pPr>
        <w:shd w:val="clear" w:color="auto" w:fill="FFFFFF"/>
        <w:spacing w:line="322" w:lineRule="exact"/>
        <w:jc w:val="both"/>
        <w:rPr>
          <w:b w:val="0"/>
          <w:i w:val="0"/>
          <w:sz w:val="24"/>
          <w:szCs w:val="24"/>
          <w:lang w:val="kk-KZ"/>
        </w:rPr>
      </w:pPr>
    </w:p>
    <w:p w:rsidR="002331AD" w:rsidRPr="00F62833"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0A4921" w:rsidRPr="000A4921">
        <w:rPr>
          <w:i w:val="0"/>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7" w:history="1">
        <w:r w:rsidR="000A4921" w:rsidRPr="000A4921">
          <w:rPr>
            <w:rStyle w:val="a6"/>
            <w:rFonts w:ascii="Times New Roman" w:hAnsi="Times New Roman" w:cs="Times New Roman"/>
            <w:i w:val="0"/>
            <w:sz w:val="24"/>
            <w:szCs w:val="24"/>
            <w:lang w:val="kk-KZ"/>
          </w:rPr>
          <w:t>kadr_1806@taxeast.mgd.kz</w:t>
        </w:r>
      </w:hyperlink>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0A4921">
        <w:rPr>
          <w:b w:val="0"/>
          <w:i w:val="0"/>
          <w:color w:val="000000"/>
          <w:sz w:val="24"/>
          <w:szCs w:val="24"/>
          <w:lang w:val="kk-KZ"/>
        </w:rPr>
        <w:t>бір</w:t>
      </w:r>
      <w:r w:rsidR="002331AD" w:rsidRPr="00F62833">
        <w:rPr>
          <w:b w:val="0"/>
          <w:i w:val="0"/>
          <w:color w:val="000000"/>
          <w:sz w:val="24"/>
          <w:szCs w:val="24"/>
          <w:lang w:val="kk-KZ"/>
        </w:rPr>
        <w:t xml:space="preserve">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w:t>
      </w:r>
      <w:r w:rsidR="002331AD" w:rsidRPr="002331AD">
        <w:rPr>
          <w:rFonts w:ascii="Times New Roman" w:hAnsi="Times New Roman" w:cs="Times New Roman"/>
          <w:color w:val="000000"/>
          <w:sz w:val="24"/>
          <w:szCs w:val="24"/>
          <w:lang w:val="kk-KZ"/>
        </w:rPr>
        <w:lastRenderedPageBreak/>
        <w:t>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13AA"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bookmarkStart w:id="0" w:name="_GoBack"/>
      <w:bookmarkEnd w:id="0"/>
      <w:r w:rsidR="005E309D">
        <w:rPr>
          <w:b w:val="0"/>
          <w:i w:val="0"/>
          <w:sz w:val="24"/>
          <w:szCs w:val="24"/>
          <w:lang w:val="kk-KZ"/>
        </w:rPr>
        <w:t xml:space="preserve"> </w:t>
      </w: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lastRenderedPageBreak/>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4921"/>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B77C5"/>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C000C"/>
    <w:rsid w:val="004C2A01"/>
    <w:rsid w:val="004D5A8C"/>
    <w:rsid w:val="004D7E71"/>
    <w:rsid w:val="00507FE3"/>
    <w:rsid w:val="00525913"/>
    <w:rsid w:val="00542A49"/>
    <w:rsid w:val="005835D4"/>
    <w:rsid w:val="005927F6"/>
    <w:rsid w:val="005B170F"/>
    <w:rsid w:val="005B730A"/>
    <w:rsid w:val="005C4295"/>
    <w:rsid w:val="005D0D2B"/>
    <w:rsid w:val="005D47F4"/>
    <w:rsid w:val="005E309D"/>
    <w:rsid w:val="006121BC"/>
    <w:rsid w:val="00637CC5"/>
    <w:rsid w:val="00647407"/>
    <w:rsid w:val="00662D72"/>
    <w:rsid w:val="00675AC7"/>
    <w:rsid w:val="006903EB"/>
    <w:rsid w:val="006B73F3"/>
    <w:rsid w:val="006C48A7"/>
    <w:rsid w:val="006D59B8"/>
    <w:rsid w:val="006F47DE"/>
    <w:rsid w:val="00735CFD"/>
    <w:rsid w:val="00741310"/>
    <w:rsid w:val="0074693A"/>
    <w:rsid w:val="00764E92"/>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0CC2"/>
    <w:rsid w:val="008D614D"/>
    <w:rsid w:val="008E3178"/>
    <w:rsid w:val="008F613E"/>
    <w:rsid w:val="00916A3A"/>
    <w:rsid w:val="00932628"/>
    <w:rsid w:val="009328F0"/>
    <w:rsid w:val="009333CF"/>
    <w:rsid w:val="009431F0"/>
    <w:rsid w:val="00946B22"/>
    <w:rsid w:val="00972E96"/>
    <w:rsid w:val="00977BA6"/>
    <w:rsid w:val="00983C7A"/>
    <w:rsid w:val="00986177"/>
    <w:rsid w:val="00995985"/>
    <w:rsid w:val="009A5771"/>
    <w:rsid w:val="009A6F65"/>
    <w:rsid w:val="009B428C"/>
    <w:rsid w:val="009B447B"/>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76593"/>
    <w:rsid w:val="00D807E2"/>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084C1"/>
  <w15:docId w15:val="{1E119D4E-096F-4644-BA9C-B19C28C4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11618</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2018-02-19T06:06:00Z</cp:lastPrinted>
  <dcterms:created xsi:type="dcterms:W3CDTF">2019-10-04T05:35:00Z</dcterms:created>
  <dcterms:modified xsi:type="dcterms:W3CDTF">2019-10-04T05:38:00Z</dcterms:modified>
</cp:coreProperties>
</file>