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BB" w:rsidRPr="00F27736" w:rsidRDefault="009C15BB" w:rsidP="00E55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736">
        <w:rPr>
          <w:rFonts w:ascii="Times New Roman" w:hAnsi="Times New Roman" w:cs="Times New Roman"/>
          <w:b/>
          <w:sz w:val="28"/>
          <w:szCs w:val="28"/>
        </w:rPr>
        <w:t>«Применение перевозчиками (участниками ВЭД) Сертификатов обеспечения уплаты таможенных пошлин и налогов при  перемещении товаров и транспортных средств по таможенной процедуре таможенного транзита в рамках Таможенного союза»</w:t>
      </w:r>
    </w:p>
    <w:p w:rsidR="00532DDD" w:rsidRPr="00F27736" w:rsidRDefault="00532DDD" w:rsidP="009C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D6" w:rsidRPr="00F27736" w:rsidRDefault="00E5563D" w:rsidP="00ED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Одним из условий</w:t>
      </w:r>
      <w:r w:rsidR="007260D6" w:rsidRPr="00F27736">
        <w:rPr>
          <w:rFonts w:ascii="Times New Roman" w:hAnsi="Times New Roman" w:cs="Times New Roman"/>
          <w:sz w:val="28"/>
          <w:szCs w:val="28"/>
        </w:rPr>
        <w:t xml:space="preserve"> помещения товаров под таможенную процедуру таможенного транзита </w:t>
      </w:r>
      <w:r w:rsidR="00BC1B66" w:rsidRPr="00F277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260D6" w:rsidRPr="00F27736">
        <w:rPr>
          <w:rFonts w:ascii="Times New Roman" w:hAnsi="Times New Roman" w:cs="Times New Roman"/>
          <w:sz w:val="28"/>
          <w:szCs w:val="28"/>
        </w:rPr>
        <w:t xml:space="preserve">принятие мер обеспечения соблюдения таможенного транзита в соответствии со </w:t>
      </w:r>
      <w:r w:rsidR="002016BE" w:rsidRPr="00F2773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5063A" w:rsidRPr="00F27736">
        <w:rPr>
          <w:rFonts w:ascii="Times New Roman" w:hAnsi="Times New Roman" w:cs="Times New Roman"/>
          <w:sz w:val="28"/>
          <w:szCs w:val="28"/>
        </w:rPr>
        <w:t>217</w:t>
      </w:r>
      <w:r w:rsidR="002016BE" w:rsidRPr="00F27736">
        <w:rPr>
          <w:rFonts w:ascii="Times New Roman" w:hAnsi="Times New Roman" w:cs="Times New Roman"/>
          <w:sz w:val="28"/>
          <w:szCs w:val="28"/>
        </w:rPr>
        <w:t xml:space="preserve"> Таможенного кодекса Таможенного союза</w:t>
      </w:r>
      <w:r w:rsidRPr="00F27736">
        <w:rPr>
          <w:rFonts w:ascii="Times New Roman" w:hAnsi="Times New Roman" w:cs="Times New Roman"/>
          <w:sz w:val="28"/>
          <w:szCs w:val="28"/>
        </w:rPr>
        <w:t xml:space="preserve"> (далее – ТК ТС)</w:t>
      </w:r>
      <w:r w:rsidR="00BC1B66" w:rsidRPr="00F27736">
        <w:rPr>
          <w:rFonts w:ascii="Times New Roman" w:hAnsi="Times New Roman" w:cs="Times New Roman"/>
          <w:sz w:val="28"/>
          <w:szCs w:val="28"/>
        </w:rPr>
        <w:t>,</w:t>
      </w:r>
      <w:r w:rsidR="007260D6" w:rsidRPr="00F27736">
        <w:rPr>
          <w:rFonts w:ascii="Times New Roman" w:hAnsi="Times New Roman" w:cs="Times New Roman"/>
          <w:sz w:val="28"/>
          <w:szCs w:val="28"/>
        </w:rPr>
        <w:t xml:space="preserve"> к которым относятся</w:t>
      </w:r>
      <w:r w:rsidRPr="00F27736">
        <w:rPr>
          <w:rFonts w:ascii="Times New Roman" w:hAnsi="Times New Roman" w:cs="Times New Roman"/>
          <w:sz w:val="28"/>
          <w:szCs w:val="28"/>
        </w:rPr>
        <w:t>:</w:t>
      </w:r>
    </w:p>
    <w:p w:rsidR="007260D6" w:rsidRPr="00F27736" w:rsidRDefault="007260D6" w:rsidP="00E5563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Обеспечение уплаты таможенных пошлин, налогов</w:t>
      </w:r>
      <w:r w:rsidR="00E5563D" w:rsidRPr="00F27736">
        <w:rPr>
          <w:rFonts w:ascii="Times New Roman" w:hAnsi="Times New Roman" w:cs="Times New Roman"/>
          <w:sz w:val="28"/>
          <w:szCs w:val="28"/>
        </w:rPr>
        <w:t xml:space="preserve"> в отношении иностранных товаров</w:t>
      </w:r>
      <w:r w:rsidRPr="00F27736">
        <w:rPr>
          <w:rFonts w:ascii="Times New Roman" w:hAnsi="Times New Roman" w:cs="Times New Roman"/>
          <w:sz w:val="28"/>
          <w:szCs w:val="28"/>
        </w:rPr>
        <w:t>;</w:t>
      </w:r>
    </w:p>
    <w:p w:rsidR="007260D6" w:rsidRPr="00F27736" w:rsidRDefault="00E5563D" w:rsidP="00ED4F4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т</w:t>
      </w:r>
      <w:r w:rsidR="007260D6" w:rsidRPr="00F27736">
        <w:rPr>
          <w:rFonts w:ascii="Times New Roman" w:hAnsi="Times New Roman" w:cs="Times New Roman"/>
          <w:sz w:val="28"/>
          <w:szCs w:val="28"/>
        </w:rPr>
        <w:t>аможенное сопровождение;</w:t>
      </w:r>
    </w:p>
    <w:p w:rsidR="007260D6" w:rsidRPr="00F27736" w:rsidRDefault="00E5563D" w:rsidP="00ED4F4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у</w:t>
      </w:r>
      <w:r w:rsidR="007260D6" w:rsidRPr="00F27736">
        <w:rPr>
          <w:rFonts w:ascii="Times New Roman" w:hAnsi="Times New Roman" w:cs="Times New Roman"/>
          <w:sz w:val="28"/>
          <w:szCs w:val="28"/>
        </w:rPr>
        <w:t>становление маршрута перевозки товаров.</w:t>
      </w:r>
    </w:p>
    <w:p w:rsidR="00E5563D" w:rsidRPr="00F27736" w:rsidRDefault="00E5563D" w:rsidP="00E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До вступления в силу ТК ТС таможенным законодательством Республики Казахстан было предусмотрено 4 меры обеспечения соблюдения таможенного транзита, такие как гарантийное обязательство, обеспечение уплаты таможенных платежей и налогов, таможенное сопровождение, таможенный перевозчик. С введением законодательства Таможенного союза перечень мер обеспечения таможенного транзита сокращен до 3-х.</w:t>
      </w:r>
      <w:r w:rsidR="00E90591" w:rsidRPr="00F27736">
        <w:rPr>
          <w:rFonts w:ascii="Times New Roman" w:hAnsi="Times New Roman" w:cs="Times New Roman"/>
          <w:sz w:val="28"/>
          <w:szCs w:val="28"/>
        </w:rPr>
        <w:t xml:space="preserve"> </w:t>
      </w:r>
      <w:r w:rsidRPr="00F277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619" w:rsidRPr="00F27736" w:rsidRDefault="00683619" w:rsidP="00683619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3619" w:rsidRPr="00F27736" w:rsidRDefault="00683619" w:rsidP="00E9059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8B8D6" wp14:editId="06779F78">
            <wp:extent cx="60864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BB" w:rsidRPr="00F27736" w:rsidRDefault="009C15BB" w:rsidP="00683619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90591" w:rsidRPr="00F27736" w:rsidRDefault="00E90591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>Необходимо отметить</w:t>
      </w:r>
      <w:r w:rsidR="00F5063A" w:rsidRPr="00F27736">
        <w:rPr>
          <w:sz w:val="28"/>
          <w:szCs w:val="28"/>
        </w:rPr>
        <w:t xml:space="preserve">, что в соответствии со статьей 86 </w:t>
      </w:r>
      <w:r w:rsidR="00C164DE" w:rsidRPr="00F27736">
        <w:rPr>
          <w:sz w:val="28"/>
          <w:szCs w:val="28"/>
        </w:rPr>
        <w:t>ТК ТС</w:t>
      </w:r>
      <w:r w:rsidR="00F5063A" w:rsidRPr="00F27736">
        <w:rPr>
          <w:sz w:val="28"/>
          <w:szCs w:val="28"/>
        </w:rPr>
        <w:t xml:space="preserve"> уплата таможенных пошлин, налогов обеспечивается следующими способами:</w:t>
      </w:r>
      <w:bookmarkStart w:id="1" w:name="anc860101"/>
      <w:bookmarkEnd w:id="1"/>
    </w:p>
    <w:p w:rsidR="00E90591" w:rsidRPr="00F27736" w:rsidRDefault="00E90591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 xml:space="preserve">- </w:t>
      </w:r>
      <w:hyperlink r:id="rId7" w:tgtFrame="_blank" w:history="1">
        <w:r w:rsidR="00F5063A" w:rsidRPr="00F27736">
          <w:rPr>
            <w:rStyle w:val="a7"/>
            <w:color w:val="auto"/>
            <w:sz w:val="28"/>
            <w:szCs w:val="28"/>
            <w:u w:val="none"/>
          </w:rPr>
          <w:t>денежными средствами</w:t>
        </w:r>
      </w:hyperlink>
      <w:r w:rsidR="00F5063A" w:rsidRPr="00F27736">
        <w:rPr>
          <w:sz w:val="28"/>
          <w:szCs w:val="28"/>
        </w:rPr>
        <w:t xml:space="preserve"> (деньгами);</w:t>
      </w:r>
      <w:bookmarkStart w:id="2" w:name="anc860102"/>
      <w:bookmarkEnd w:id="2"/>
    </w:p>
    <w:p w:rsidR="00E90591" w:rsidRPr="00F27736" w:rsidRDefault="00E90591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 xml:space="preserve">- </w:t>
      </w:r>
      <w:hyperlink r:id="rId8" w:tgtFrame="_blank" w:history="1">
        <w:r w:rsidR="00F5063A" w:rsidRPr="00F27736">
          <w:rPr>
            <w:rStyle w:val="a7"/>
            <w:color w:val="auto"/>
            <w:sz w:val="28"/>
            <w:szCs w:val="28"/>
            <w:u w:val="none"/>
          </w:rPr>
          <w:t>банковской гарантией</w:t>
        </w:r>
      </w:hyperlink>
      <w:r w:rsidR="00F5063A" w:rsidRPr="00F27736">
        <w:rPr>
          <w:sz w:val="28"/>
          <w:szCs w:val="28"/>
        </w:rPr>
        <w:t>;</w:t>
      </w:r>
      <w:bookmarkStart w:id="3" w:name="anc860103"/>
      <w:bookmarkEnd w:id="3"/>
    </w:p>
    <w:p w:rsidR="00E90591" w:rsidRPr="00F27736" w:rsidRDefault="00E90591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 xml:space="preserve">- </w:t>
      </w:r>
      <w:hyperlink r:id="rId9" w:tgtFrame="_blank" w:history="1">
        <w:r w:rsidR="00F5063A" w:rsidRPr="00F27736">
          <w:rPr>
            <w:rStyle w:val="a7"/>
            <w:color w:val="auto"/>
            <w:sz w:val="28"/>
            <w:szCs w:val="28"/>
            <w:u w:val="none"/>
          </w:rPr>
          <w:t>поручительством</w:t>
        </w:r>
      </w:hyperlink>
      <w:r w:rsidR="00F5063A" w:rsidRPr="00F27736">
        <w:rPr>
          <w:sz w:val="28"/>
          <w:szCs w:val="28"/>
        </w:rPr>
        <w:t>;</w:t>
      </w:r>
      <w:bookmarkStart w:id="4" w:name="anc860104"/>
      <w:bookmarkEnd w:id="4"/>
    </w:p>
    <w:p w:rsidR="00F5063A" w:rsidRPr="00F27736" w:rsidRDefault="00E90591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 xml:space="preserve">- </w:t>
      </w:r>
      <w:hyperlink r:id="rId10" w:tgtFrame="_blank" w:history="1">
        <w:r w:rsidR="00F5063A" w:rsidRPr="00F27736">
          <w:rPr>
            <w:rStyle w:val="a7"/>
            <w:color w:val="auto"/>
            <w:sz w:val="28"/>
            <w:szCs w:val="28"/>
            <w:u w:val="none"/>
          </w:rPr>
          <w:t>залогом имущества</w:t>
        </w:r>
      </w:hyperlink>
      <w:r w:rsidR="00F5063A" w:rsidRPr="00F27736">
        <w:rPr>
          <w:sz w:val="28"/>
          <w:szCs w:val="28"/>
        </w:rPr>
        <w:t>.</w:t>
      </w:r>
    </w:p>
    <w:p w:rsidR="00F5063A" w:rsidRPr="00F27736" w:rsidRDefault="00F5063A" w:rsidP="00F506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>Кодексом Республики Казахстан «О таможенном деле в Республике Казахстан»</w:t>
      </w:r>
      <w:r w:rsidR="00D279A7" w:rsidRPr="00F27736">
        <w:rPr>
          <w:sz w:val="28"/>
          <w:szCs w:val="28"/>
        </w:rPr>
        <w:t xml:space="preserve"> (далее – ТК РК)</w:t>
      </w:r>
      <w:r w:rsidRPr="00F27736">
        <w:rPr>
          <w:sz w:val="28"/>
          <w:szCs w:val="28"/>
        </w:rPr>
        <w:t xml:space="preserve"> дополнительно к вышеперечисленным способам </w:t>
      </w:r>
      <w:r w:rsidRPr="00F27736">
        <w:rPr>
          <w:sz w:val="28"/>
          <w:szCs w:val="28"/>
        </w:rPr>
        <w:lastRenderedPageBreak/>
        <w:t xml:space="preserve">обеспечения уплаты таможенных пошлин, налогов предусмотрен </w:t>
      </w:r>
      <w:r w:rsidRPr="00F27736">
        <w:rPr>
          <w:b/>
          <w:sz w:val="28"/>
          <w:szCs w:val="28"/>
        </w:rPr>
        <w:t>договор страхования</w:t>
      </w:r>
      <w:r w:rsidRPr="00F27736">
        <w:rPr>
          <w:sz w:val="28"/>
          <w:szCs w:val="28"/>
        </w:rPr>
        <w:t>.</w:t>
      </w:r>
    </w:p>
    <w:p w:rsidR="00E90591" w:rsidRPr="00F27736" w:rsidRDefault="00E90591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>У</w:t>
      </w:r>
      <w:r w:rsidR="00F5063A" w:rsidRPr="00F27736">
        <w:rPr>
          <w:sz w:val="28"/>
          <w:szCs w:val="28"/>
        </w:rPr>
        <w:t>читывая, что обеспечение уплаты таможенных пошлин, налогов способом договора страхования предусмотрено только национальным таможенным законодательством,</w:t>
      </w:r>
      <w:r w:rsidRPr="00F27736">
        <w:rPr>
          <w:sz w:val="28"/>
          <w:szCs w:val="28"/>
        </w:rPr>
        <w:t xml:space="preserve"> </w:t>
      </w:r>
      <w:r w:rsidR="00F5063A" w:rsidRPr="00F27736">
        <w:rPr>
          <w:sz w:val="28"/>
          <w:szCs w:val="28"/>
        </w:rPr>
        <w:t>данная мера обеспечения принимается только при осуществлении перевозки товаров от таможенного органа отправления Республики Казахстан до таможенного органа назначения Республики Казахстан.</w:t>
      </w:r>
      <w:r w:rsidRPr="00F27736">
        <w:rPr>
          <w:sz w:val="28"/>
          <w:szCs w:val="28"/>
        </w:rPr>
        <w:t xml:space="preserve"> Применение договора страхования при транзитной перевозке по территории Российской Федерации и Республики Беларусь не допускается.</w:t>
      </w:r>
    </w:p>
    <w:p w:rsidR="00F5063A" w:rsidRPr="00F27736" w:rsidRDefault="00F5063A" w:rsidP="00E905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36">
        <w:rPr>
          <w:sz w:val="28"/>
          <w:szCs w:val="28"/>
        </w:rPr>
        <w:t>Иными словами, в случае перевозки иностранных товаров в соответствии с таможенной процедурой таможенного транзита от таможенного органа Республики Казахстан до таможенных органов Российской Федерации или Республики Беларусь, в качестве обеспечения уплаты таможенных пошлин, налогов используются способы, предусмотренные Таможенным кодексом Таможенного союза.</w:t>
      </w:r>
    </w:p>
    <w:p w:rsidR="00F5063A" w:rsidRPr="00F27736" w:rsidRDefault="00F5063A" w:rsidP="00F506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063A" w:rsidRPr="00F27736" w:rsidRDefault="00F5063A" w:rsidP="00E905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7736">
        <w:rPr>
          <w:noProof/>
          <w:color w:val="FF0000"/>
          <w:sz w:val="28"/>
          <w:szCs w:val="28"/>
        </w:rPr>
        <w:drawing>
          <wp:inline distT="0" distB="0" distL="0" distR="0" wp14:anchorId="362D7B23" wp14:editId="09D9BE91">
            <wp:extent cx="6144306" cy="27622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5507" cy="277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63A" w:rsidRPr="00F27736" w:rsidRDefault="00F5063A" w:rsidP="009C15B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96A" w:rsidRPr="00F27736" w:rsidRDefault="009C15BB" w:rsidP="00B5393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96A" w:rsidRPr="00F27736">
        <w:rPr>
          <w:rFonts w:ascii="Times New Roman" w:hAnsi="Times New Roman" w:cs="Times New Roman"/>
          <w:sz w:val="28"/>
          <w:szCs w:val="28"/>
        </w:rPr>
        <w:t>Обеспечение уплаты таможенных пошлин, налогов производиться плательщиком  и таможенным представителем, а при перевозке товаров в соответствии с таможенной процедурой таможенного транзита – также и иным лицом за плательщика, если это иное лицо вправе владеть, пользоваться и (или) распоряжаться  товарами, в отношении которых производиться обеспечение уплаты таможенных пошлин, налогов.</w:t>
      </w:r>
    </w:p>
    <w:p w:rsidR="00FB596A" w:rsidRPr="00F27736" w:rsidRDefault="00FB596A" w:rsidP="00FB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       При перевозке товаров в соответствии с таможенной процедурой таможенного транзита обеспечение уплаты таможенных пошлин, налогов может быть представлено таможенному органу отправления либо таможенному органу назначения.</w:t>
      </w:r>
    </w:p>
    <w:p w:rsidR="00FB596A" w:rsidRPr="00F27736" w:rsidRDefault="009C15BB" w:rsidP="00FB596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36">
        <w:rPr>
          <w:rFonts w:ascii="Times New Roman" w:hAnsi="Times New Roman" w:cs="Times New Roman"/>
          <w:sz w:val="28"/>
          <w:szCs w:val="28"/>
        </w:rPr>
        <w:t xml:space="preserve">Регистрация обеспечения уплаты таможенных пошлин, </w:t>
      </w:r>
      <w:r w:rsidR="00F5063A" w:rsidRPr="00F27736">
        <w:rPr>
          <w:rFonts w:ascii="Times New Roman" w:hAnsi="Times New Roman" w:cs="Times New Roman"/>
          <w:sz w:val="28"/>
          <w:szCs w:val="28"/>
        </w:rPr>
        <w:t xml:space="preserve">налогов,  согласно Постановлении Правительства Республики Казахстан от 23 ноября 2010 года № 1230 «Об утверждении Правил учета в таможенных органах обеспечения уплаты таможенных пошлин, налогов, определения суммы </w:t>
      </w:r>
      <w:r w:rsidR="00F5063A" w:rsidRPr="00F2773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уплаты таможенных пошлин, налогов, а также применения генерального обеспечения уплаты таможенных пошлин, налогов», </w:t>
      </w:r>
      <w:r w:rsidRPr="00F27736">
        <w:rPr>
          <w:rFonts w:ascii="Times New Roman" w:hAnsi="Times New Roman" w:cs="Times New Roman"/>
          <w:sz w:val="28"/>
          <w:szCs w:val="28"/>
        </w:rPr>
        <w:t>производится путем оформления Карточки обеспечения уплаты таможенных пошлин, налогов (далее - Карточка)</w:t>
      </w:r>
      <w:r w:rsidR="00FB596A" w:rsidRPr="00F27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96A" w:rsidRPr="00F27736" w:rsidRDefault="00FB596A" w:rsidP="00FB596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736">
        <w:rPr>
          <w:rFonts w:ascii="Times New Roman" w:hAnsi="Times New Roman" w:cs="Times New Roman"/>
          <w:sz w:val="28"/>
          <w:szCs w:val="28"/>
        </w:rPr>
        <w:tab/>
      </w:r>
      <w:r w:rsidR="00856368" w:rsidRPr="00F27736">
        <w:rPr>
          <w:rFonts w:ascii="Times New Roman" w:hAnsi="Times New Roman" w:cs="Times New Roman"/>
          <w:sz w:val="28"/>
          <w:szCs w:val="28"/>
        </w:rPr>
        <w:t xml:space="preserve">Карточка оформляется в целях учета таможенными органами обеспечения уплаты таможенных пошлин, налогов и является для таможенных органов документом, подтверждающим принятие обеспечения уплаты таможенных пошлин, налогов, в том числе при перевозке товаров в соответствии с таможенной процедурой таможенного транзита. </w:t>
      </w:r>
    </w:p>
    <w:p w:rsidR="00FB596A" w:rsidRPr="00F27736" w:rsidRDefault="00FB596A" w:rsidP="00FB596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Карточка оформляется в двух экземплярах и распределяется следующим образом</w:t>
      </w:r>
      <w:r w:rsidRPr="00F2773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27736">
        <w:rPr>
          <w:rFonts w:ascii="Times New Roman" w:hAnsi="Times New Roman" w:cs="Times New Roman"/>
          <w:sz w:val="28"/>
          <w:szCs w:val="28"/>
        </w:rPr>
        <w:t xml:space="preserve">Первый экземпляр Карточки остается в структурном подразделении таможенного органа, зарегистрировавшего ее, которым является отдел (отделение) таможенных доходов. Второй экземпляр передается в структурное подразделение таможенного органа, в котором будет совершаться таможенная операция. </w:t>
      </w:r>
    </w:p>
    <w:p w:rsidR="007260D6" w:rsidRPr="00F27736" w:rsidRDefault="00EC6A5A" w:rsidP="00F5063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260D6" w:rsidRPr="00F27736">
        <w:rPr>
          <w:rFonts w:ascii="Times New Roman" w:hAnsi="Times New Roman" w:cs="Times New Roman"/>
          <w:sz w:val="28"/>
          <w:szCs w:val="28"/>
        </w:rPr>
        <w:t>Соглашени</w:t>
      </w:r>
      <w:r w:rsidR="00C164DE">
        <w:rPr>
          <w:rFonts w:ascii="Times New Roman" w:hAnsi="Times New Roman" w:cs="Times New Roman"/>
          <w:sz w:val="28"/>
          <w:szCs w:val="28"/>
        </w:rPr>
        <w:t>ем</w:t>
      </w:r>
      <w:r w:rsidR="00BC1B66" w:rsidRPr="00F27736">
        <w:rPr>
          <w:rFonts w:ascii="Times New Roman" w:hAnsi="Times New Roman" w:cs="Times New Roman"/>
          <w:sz w:val="28"/>
          <w:szCs w:val="28"/>
        </w:rPr>
        <w:t xml:space="preserve"> </w:t>
      </w:r>
      <w:r w:rsidR="007260D6" w:rsidRPr="00F27736">
        <w:rPr>
          <w:rFonts w:ascii="Times New Roman" w:hAnsi="Times New Roman" w:cs="Times New Roman"/>
          <w:sz w:val="28"/>
          <w:szCs w:val="28"/>
        </w:rPr>
        <w:t>«О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 взысканных сумм в отношении таких товаров»</w:t>
      </w:r>
      <w:r w:rsidR="00C164DE">
        <w:rPr>
          <w:rFonts w:ascii="Times New Roman" w:hAnsi="Times New Roman" w:cs="Times New Roman"/>
          <w:sz w:val="28"/>
          <w:szCs w:val="28"/>
        </w:rPr>
        <w:t xml:space="preserve"> </w:t>
      </w:r>
      <w:r w:rsidR="00C164DE" w:rsidRPr="00F27736">
        <w:rPr>
          <w:rFonts w:ascii="Times New Roman" w:hAnsi="Times New Roman" w:cs="Times New Roman"/>
          <w:sz w:val="28"/>
          <w:szCs w:val="28"/>
        </w:rPr>
        <w:t xml:space="preserve">подписанного государствами-членами Таможенного союза  21 мая 2010 года в г. </w:t>
      </w:r>
      <w:proofErr w:type="spellStart"/>
      <w:r w:rsidR="00C164DE" w:rsidRPr="00F27736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="00C164DE" w:rsidRPr="00F27736">
        <w:rPr>
          <w:rFonts w:ascii="Times New Roman" w:hAnsi="Times New Roman" w:cs="Times New Roman"/>
          <w:sz w:val="28"/>
          <w:szCs w:val="28"/>
        </w:rPr>
        <w:t xml:space="preserve">-Петербурге </w:t>
      </w:r>
      <w:r w:rsidR="007260D6" w:rsidRPr="00F27736">
        <w:rPr>
          <w:rFonts w:ascii="Times New Roman" w:hAnsi="Times New Roman" w:cs="Times New Roman"/>
          <w:sz w:val="28"/>
          <w:szCs w:val="28"/>
        </w:rPr>
        <w:t>(далее - Соглашение)</w:t>
      </w:r>
      <w:r w:rsidRPr="00F27736">
        <w:rPr>
          <w:rFonts w:ascii="Times New Roman" w:hAnsi="Times New Roman" w:cs="Times New Roman"/>
          <w:sz w:val="28"/>
          <w:szCs w:val="28"/>
        </w:rPr>
        <w:t xml:space="preserve">, </w:t>
      </w:r>
      <w:r w:rsidR="007260D6" w:rsidRPr="00F27736">
        <w:rPr>
          <w:rFonts w:ascii="Times New Roman" w:hAnsi="Times New Roman" w:cs="Times New Roman"/>
          <w:sz w:val="28"/>
          <w:szCs w:val="28"/>
        </w:rPr>
        <w:t>предусмотрено, что документом</w:t>
      </w:r>
      <w:r w:rsidR="00D279A7" w:rsidRPr="00F27736">
        <w:rPr>
          <w:rFonts w:ascii="Times New Roman" w:hAnsi="Times New Roman" w:cs="Times New Roman"/>
          <w:sz w:val="28"/>
          <w:szCs w:val="28"/>
        </w:rPr>
        <w:t>,</w:t>
      </w:r>
      <w:r w:rsidR="007260D6" w:rsidRPr="00F27736">
        <w:rPr>
          <w:rFonts w:ascii="Times New Roman" w:hAnsi="Times New Roman" w:cs="Times New Roman"/>
          <w:sz w:val="28"/>
          <w:szCs w:val="28"/>
        </w:rPr>
        <w:t xml:space="preserve"> подтверждающим принятие обеспечения уплаты таможенных пошлин, налогов при перевозке</w:t>
      </w:r>
      <w:proofErr w:type="gramEnd"/>
      <w:r w:rsidR="007260D6" w:rsidRPr="00F27736">
        <w:rPr>
          <w:rFonts w:ascii="Times New Roman" w:hAnsi="Times New Roman" w:cs="Times New Roman"/>
          <w:sz w:val="28"/>
          <w:szCs w:val="28"/>
        </w:rPr>
        <w:t xml:space="preserve"> товаров в соответствии с таможенной процедурой таможенного транзита, является Сертификат обеспечения уплаты таможенных пошлин, налогов (дале</w:t>
      </w:r>
      <w:proofErr w:type="gramStart"/>
      <w:r w:rsidR="007260D6" w:rsidRPr="00F277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260D6" w:rsidRPr="00F27736">
        <w:rPr>
          <w:rFonts w:ascii="Times New Roman" w:hAnsi="Times New Roman" w:cs="Times New Roman"/>
          <w:sz w:val="28"/>
          <w:szCs w:val="28"/>
        </w:rPr>
        <w:t xml:space="preserve"> Сертификат). </w:t>
      </w:r>
    </w:p>
    <w:p w:rsidR="00B36835" w:rsidRPr="00F27736" w:rsidRDefault="00B36835" w:rsidP="00B36835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3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27736">
        <w:rPr>
          <w:rFonts w:ascii="Times New Roman" w:hAnsi="Times New Roman" w:cs="Times New Roman"/>
          <w:bCs/>
          <w:color w:val="000000"/>
          <w:sz w:val="28"/>
          <w:szCs w:val="28"/>
        </w:rPr>
        <w:t>статье 4 Соглашения</w:t>
      </w:r>
      <w:r w:rsidRPr="00F27736">
        <w:rPr>
          <w:rFonts w:ascii="Times New Roman" w:hAnsi="Times New Roman" w:cs="Times New Roman"/>
          <w:color w:val="000000"/>
          <w:sz w:val="28"/>
          <w:szCs w:val="28"/>
        </w:rPr>
        <w:t xml:space="preserve"> декларант таможенной процедуры таможенного транзита представляет в таможенный орган отправления второй и третий экземпляры Сертификата одновременно с транзитной декларацией. </w:t>
      </w:r>
    </w:p>
    <w:p w:rsidR="00B36835" w:rsidRPr="00F27736" w:rsidRDefault="00B36835" w:rsidP="00B3683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36">
        <w:rPr>
          <w:rFonts w:ascii="Times New Roman" w:hAnsi="Times New Roman" w:cs="Times New Roman"/>
          <w:color w:val="000000"/>
          <w:sz w:val="28"/>
          <w:szCs w:val="28"/>
        </w:rPr>
        <w:t>Признание Сертификата заключается в его принятии таможенным органом Стороны, осуществляющим выпуск товаров в соответствии с таможенной процедурой таможенного транзита.</w:t>
      </w:r>
    </w:p>
    <w:p w:rsidR="00B36835" w:rsidRPr="00F27736" w:rsidRDefault="00B36835" w:rsidP="00B3683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36">
        <w:rPr>
          <w:rStyle w:val="s0"/>
          <w:sz w:val="28"/>
          <w:szCs w:val="28"/>
        </w:rPr>
        <w:t>Представленный Сертификат принимается в качестве документа, подтверждающего предоставление обеспечения уплаты таможенных пошлин, налогов, до истечения срока использования указанного Сертификата при наличии информации о</w:t>
      </w:r>
      <w:r w:rsidRPr="00F27736">
        <w:rPr>
          <w:rFonts w:ascii="Times New Roman" w:hAnsi="Times New Roman" w:cs="Times New Roman"/>
          <w:color w:val="000000"/>
          <w:sz w:val="28"/>
          <w:szCs w:val="28"/>
        </w:rPr>
        <w:t xml:space="preserve"> выдаче Сертификата из таможенного органа, </w:t>
      </w:r>
      <w:r w:rsidR="00BC1B66" w:rsidRPr="00F27736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зарегистрировавшего Сертификат</w:t>
      </w:r>
      <w:r w:rsidRPr="00F27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835" w:rsidRPr="00F27736" w:rsidRDefault="00B36835" w:rsidP="00ED4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36">
        <w:rPr>
          <w:rFonts w:ascii="Times New Roman" w:hAnsi="Times New Roman" w:cs="Times New Roman"/>
          <w:color w:val="000000"/>
          <w:sz w:val="28"/>
          <w:szCs w:val="28"/>
        </w:rPr>
        <w:t xml:space="preserve">         О принятии Сертификата при выпуске товаров в соответствии с таможенной процедурой таможенного транзита таможенный орган отправления информирует таможенный орган, зарегистрировавший Сертификат.</w:t>
      </w:r>
    </w:p>
    <w:p w:rsidR="005E70DE" w:rsidRPr="00F27736" w:rsidRDefault="005E70DE" w:rsidP="005E70DE">
      <w:pPr>
        <w:pStyle w:val="1"/>
        <w:ind w:firstLine="720"/>
        <w:jc w:val="both"/>
        <w:rPr>
          <w:rStyle w:val="s0"/>
          <w:sz w:val="28"/>
          <w:szCs w:val="28"/>
        </w:rPr>
      </w:pPr>
      <w:r w:rsidRPr="00F27736">
        <w:rPr>
          <w:rStyle w:val="s0"/>
          <w:sz w:val="28"/>
          <w:szCs w:val="28"/>
        </w:rPr>
        <w:t xml:space="preserve">Далее в месте доставки перевозчик представляет таможенному органу назначения вместе с транзитной декларацией и иными имеющимися у него документами третий экземпляр Сертификата </w:t>
      </w:r>
      <w:r w:rsidRPr="00F27736">
        <w:rPr>
          <w:rStyle w:val="FontStyle28"/>
          <w:color w:val="000000"/>
          <w:sz w:val="28"/>
          <w:szCs w:val="28"/>
        </w:rPr>
        <w:t>для его погашения</w:t>
      </w:r>
      <w:r w:rsidRPr="00F27736">
        <w:rPr>
          <w:rStyle w:val="s0"/>
          <w:sz w:val="28"/>
          <w:szCs w:val="28"/>
        </w:rPr>
        <w:t>.</w:t>
      </w:r>
    </w:p>
    <w:p w:rsidR="005E70DE" w:rsidRPr="00F27736" w:rsidRDefault="005E70DE" w:rsidP="005E70DE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После исполнения обязательств по таможенной операции, плательщик в письменной форме обращается в таможенный орган, оформивший Карточку, о </w:t>
      </w:r>
      <w:r w:rsidRPr="00F27736">
        <w:rPr>
          <w:rFonts w:ascii="Times New Roman" w:hAnsi="Times New Roman" w:cs="Times New Roman"/>
          <w:sz w:val="28"/>
          <w:szCs w:val="28"/>
        </w:rPr>
        <w:lastRenderedPageBreak/>
        <w:t>возврате сумм обеспечения уплаты таможенных пошлин, налогов с предоставлением документов, подтверждающих своевременное и надлежащее исполнение обязатель</w:t>
      </w:r>
      <w:proofErr w:type="gramStart"/>
      <w:r w:rsidRPr="00F2773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27736">
        <w:rPr>
          <w:rFonts w:ascii="Times New Roman" w:hAnsi="Times New Roman" w:cs="Times New Roman"/>
          <w:sz w:val="28"/>
          <w:szCs w:val="28"/>
        </w:rPr>
        <w:t>и совершении таможенной процедуры.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Хотел</w:t>
      </w:r>
      <w:r w:rsidR="00FB596A" w:rsidRPr="00F27736">
        <w:rPr>
          <w:rFonts w:ascii="Times New Roman" w:hAnsi="Times New Roman" w:cs="Times New Roman"/>
          <w:sz w:val="28"/>
          <w:szCs w:val="28"/>
        </w:rPr>
        <w:t>ось бы обратить внимание на то</w:t>
      </w:r>
      <w:r w:rsidRPr="00F2773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27736">
        <w:rPr>
          <w:rFonts w:ascii="Times New Roman" w:hAnsi="Times New Roman" w:cs="Times New Roman"/>
          <w:b/>
          <w:i/>
          <w:sz w:val="28"/>
          <w:szCs w:val="28"/>
        </w:rPr>
        <w:t>с 16.10.2013 года</w:t>
      </w:r>
      <w:r w:rsidRPr="00F27736">
        <w:rPr>
          <w:rFonts w:ascii="Times New Roman" w:hAnsi="Times New Roman" w:cs="Times New Roman"/>
          <w:sz w:val="28"/>
          <w:szCs w:val="28"/>
        </w:rPr>
        <w:t xml:space="preserve"> на территории Таможенного союза начал действовать электронный взаимообмен по оформленным Сертификатам обеспечения уплаты таможенных платежей и налогов (далее - Сертификат), необходимых для перемещения товаров по процедуре таможенного транзита по территории Российской Федерации, Республики Беларусь и Республики Казахстан.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Вышеназванная мера реализована на основании «Технологии информационного взаимодействия таможенных органов государств-членов Таможенного союза при </w:t>
      </w:r>
      <w:proofErr w:type="gramStart"/>
      <w:r w:rsidRPr="00F2773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27736">
        <w:rPr>
          <w:rFonts w:ascii="Times New Roman" w:hAnsi="Times New Roman" w:cs="Times New Roman"/>
          <w:sz w:val="28"/>
          <w:szCs w:val="28"/>
        </w:rPr>
        <w:t xml:space="preserve"> перевозками товаров в соответствии с таможенной процедурой таможенного  транзита» от 18 июня 2011 года (далее - Технология). 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Данная Технология предусматривает обмен информацией о Сертификатах с помощью комплекса программных средств Национальных информационных систем Таможенного союза. 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Благодаря вводу электронного взаимообмена Сертификатами у участника внешнеэкономической деятельности и других</w:t>
      </w:r>
      <w:r w:rsidR="00FB596A" w:rsidRPr="00F27736">
        <w:rPr>
          <w:rFonts w:ascii="Times New Roman" w:hAnsi="Times New Roman" w:cs="Times New Roman"/>
          <w:sz w:val="28"/>
          <w:szCs w:val="28"/>
        </w:rPr>
        <w:t xml:space="preserve"> заинтересованных лиц появилась</w:t>
      </w:r>
      <w:r w:rsidRPr="00F27736">
        <w:rPr>
          <w:rFonts w:ascii="Times New Roman" w:hAnsi="Times New Roman" w:cs="Times New Roman"/>
          <w:sz w:val="28"/>
          <w:szCs w:val="28"/>
        </w:rPr>
        <w:t xml:space="preserve"> возможность на получение Сертификата на территории любой из стран-участниц Таможенного союза.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736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отметить, что согласно статье 321 ТК РК, при таможенном транзите таможенные органы не требуют предоставления обеспечения уплаты таможенных пошлин, налогов, если: 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1) в качестве декларанта выступают таможенный перевозчик или уполномоченный экономический оператор;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2) товары перемещаются железнодорожным и трубопроводным транспортом или по линиям электропередачи;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3) это установлено международными договорами Республики Казахстан, в частности при перемещении товаров согласно Таможенной Конвенции о международной перевозке грузов с применением книжки МДП 1975 года;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4) товары перевозятся под таможенным сопровождением;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5) в иных случаях, установленных ТК РК и (или) международными договорами государств - членов таможенного союза.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Иные случаи, когда не требуется обеспечение транзита определены в </w:t>
      </w:r>
      <w:proofErr w:type="spellStart"/>
      <w:proofErr w:type="gramStart"/>
      <w:r w:rsidRPr="00F2773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7736">
        <w:rPr>
          <w:rFonts w:ascii="Times New Roman" w:hAnsi="Times New Roman" w:cs="Times New Roman"/>
          <w:sz w:val="28"/>
          <w:szCs w:val="28"/>
        </w:rPr>
        <w:t xml:space="preserve"> выше указанном Соглашении от 21 мая 2010 года.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Так, согласно статье 5 Соглашения при таможенном транзите таможенные органы Таможенного союза не требуют предоставления обеспечения уплаты таможенных пошлин, налогов, если: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- товары предназначены для официального использования дипломатическими представительствами и консульскими учреждениями иностранных государств, а также приравненными к ним по объему привилегий органами и (или) миссиями международных организаций;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lastRenderedPageBreak/>
        <w:t>-  международные почтовые отправления представляются к таможенному оформлению для их помещения под таможенную процедуру таможенного транзита операторами почтовой связи Таможенного союза.</w:t>
      </w:r>
    </w:p>
    <w:p w:rsidR="007660D4" w:rsidRPr="00F27736" w:rsidRDefault="007660D4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- если сумма таможенных пошлин, налогов в отношении товаров, декларируемых в соответствии с таможенной процедурой таможенного транзита, превышает сумму, указанную в Сертификате, не более чем на эквивалент 500 (пятьсот) евро по курсу валют.</w:t>
      </w:r>
    </w:p>
    <w:p w:rsidR="00FB596A" w:rsidRPr="00F27736" w:rsidRDefault="00FB596A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6A" w:rsidRPr="00F27736" w:rsidRDefault="00FB596A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6A" w:rsidRPr="00F27736" w:rsidRDefault="00FB596A" w:rsidP="007660D4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36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Отдела контроля доставки товаров </w:t>
      </w:r>
    </w:p>
    <w:p w:rsidR="00FB596A" w:rsidRPr="00F27736" w:rsidRDefault="00EA5F29" w:rsidP="007660D4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ДГД</w:t>
      </w:r>
      <w:r w:rsidR="00FB596A" w:rsidRPr="00F27736">
        <w:rPr>
          <w:rFonts w:ascii="Times New Roman" w:hAnsi="Times New Roman" w:cs="Times New Roman"/>
          <w:b/>
          <w:sz w:val="28"/>
          <w:szCs w:val="28"/>
        </w:rPr>
        <w:t xml:space="preserve"> по ВКО</w:t>
      </w:r>
    </w:p>
    <w:p w:rsidR="00FB596A" w:rsidRPr="00F27736" w:rsidRDefault="00FB596A" w:rsidP="007660D4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36">
        <w:rPr>
          <w:rFonts w:ascii="Times New Roman" w:hAnsi="Times New Roman" w:cs="Times New Roman"/>
          <w:b/>
          <w:sz w:val="28"/>
          <w:szCs w:val="28"/>
        </w:rPr>
        <w:t>Жуманова А. К.</w:t>
      </w:r>
    </w:p>
    <w:p w:rsidR="00FB596A" w:rsidRPr="00F27736" w:rsidRDefault="00FB596A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6A" w:rsidRPr="00F27736" w:rsidRDefault="00FB596A" w:rsidP="007660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B596A" w:rsidRPr="00F27736" w:rsidSect="003E66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6A"/>
    <w:multiLevelType w:val="hybridMultilevel"/>
    <w:tmpl w:val="0CDC920E"/>
    <w:lvl w:ilvl="0" w:tplc="566616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B2963"/>
    <w:multiLevelType w:val="hybridMultilevel"/>
    <w:tmpl w:val="9FA4F24E"/>
    <w:lvl w:ilvl="0" w:tplc="B07C1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095E"/>
    <w:multiLevelType w:val="hybridMultilevel"/>
    <w:tmpl w:val="A25A088A"/>
    <w:lvl w:ilvl="0" w:tplc="0C3497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16322"/>
    <w:multiLevelType w:val="hybridMultilevel"/>
    <w:tmpl w:val="0CDC920E"/>
    <w:lvl w:ilvl="0" w:tplc="566616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159EA"/>
    <w:multiLevelType w:val="hybridMultilevel"/>
    <w:tmpl w:val="EA70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D75"/>
    <w:multiLevelType w:val="hybridMultilevel"/>
    <w:tmpl w:val="078AB982"/>
    <w:lvl w:ilvl="0" w:tplc="A9A2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C7313"/>
    <w:multiLevelType w:val="hybridMultilevel"/>
    <w:tmpl w:val="6A36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8"/>
    <w:rsid w:val="00035719"/>
    <w:rsid w:val="00040193"/>
    <w:rsid w:val="00072277"/>
    <w:rsid w:val="000943D3"/>
    <w:rsid w:val="00124DEC"/>
    <w:rsid w:val="0012664E"/>
    <w:rsid w:val="00166449"/>
    <w:rsid w:val="00175608"/>
    <w:rsid w:val="001804A2"/>
    <w:rsid w:val="00180DBE"/>
    <w:rsid w:val="001A1775"/>
    <w:rsid w:val="001B5FF5"/>
    <w:rsid w:val="002016BE"/>
    <w:rsid w:val="00226647"/>
    <w:rsid w:val="00241122"/>
    <w:rsid w:val="00286AED"/>
    <w:rsid w:val="00286FED"/>
    <w:rsid w:val="002A17E3"/>
    <w:rsid w:val="002A3F29"/>
    <w:rsid w:val="002E45AF"/>
    <w:rsid w:val="002F5320"/>
    <w:rsid w:val="002F60A6"/>
    <w:rsid w:val="00306FE8"/>
    <w:rsid w:val="00310191"/>
    <w:rsid w:val="00316A8A"/>
    <w:rsid w:val="003416DB"/>
    <w:rsid w:val="003436EC"/>
    <w:rsid w:val="00392F92"/>
    <w:rsid w:val="003A49CB"/>
    <w:rsid w:val="003E669A"/>
    <w:rsid w:val="00426CDA"/>
    <w:rsid w:val="00435741"/>
    <w:rsid w:val="004B1089"/>
    <w:rsid w:val="004E22C3"/>
    <w:rsid w:val="004F5038"/>
    <w:rsid w:val="00523DF7"/>
    <w:rsid w:val="00532DDD"/>
    <w:rsid w:val="005339AE"/>
    <w:rsid w:val="005713BE"/>
    <w:rsid w:val="00592703"/>
    <w:rsid w:val="005955AB"/>
    <w:rsid w:val="005A3EDF"/>
    <w:rsid w:val="005D401D"/>
    <w:rsid w:val="005E70DE"/>
    <w:rsid w:val="006038FF"/>
    <w:rsid w:val="0062598B"/>
    <w:rsid w:val="00642976"/>
    <w:rsid w:val="00643E84"/>
    <w:rsid w:val="00683619"/>
    <w:rsid w:val="006D55B1"/>
    <w:rsid w:val="006F24CB"/>
    <w:rsid w:val="00700144"/>
    <w:rsid w:val="007260D6"/>
    <w:rsid w:val="00737D30"/>
    <w:rsid w:val="00752B78"/>
    <w:rsid w:val="00757FB3"/>
    <w:rsid w:val="007660D4"/>
    <w:rsid w:val="007750AB"/>
    <w:rsid w:val="00776A79"/>
    <w:rsid w:val="00780431"/>
    <w:rsid w:val="007A3736"/>
    <w:rsid w:val="007D26C0"/>
    <w:rsid w:val="007F20D1"/>
    <w:rsid w:val="00853F47"/>
    <w:rsid w:val="008545FB"/>
    <w:rsid w:val="00856368"/>
    <w:rsid w:val="008E0DDF"/>
    <w:rsid w:val="00907146"/>
    <w:rsid w:val="009A0882"/>
    <w:rsid w:val="009C15BB"/>
    <w:rsid w:val="009C77A8"/>
    <w:rsid w:val="009E4C1C"/>
    <w:rsid w:val="009F7BA4"/>
    <w:rsid w:val="00A51ACF"/>
    <w:rsid w:val="00A74544"/>
    <w:rsid w:val="00A83A2F"/>
    <w:rsid w:val="00A85227"/>
    <w:rsid w:val="00AD2C3D"/>
    <w:rsid w:val="00AD5025"/>
    <w:rsid w:val="00B16A45"/>
    <w:rsid w:val="00B2209A"/>
    <w:rsid w:val="00B36835"/>
    <w:rsid w:val="00B43A45"/>
    <w:rsid w:val="00B53938"/>
    <w:rsid w:val="00B53D99"/>
    <w:rsid w:val="00BB0C7A"/>
    <w:rsid w:val="00BB4D41"/>
    <w:rsid w:val="00BC1B66"/>
    <w:rsid w:val="00BE24F0"/>
    <w:rsid w:val="00C07956"/>
    <w:rsid w:val="00C164DE"/>
    <w:rsid w:val="00C20307"/>
    <w:rsid w:val="00C255DB"/>
    <w:rsid w:val="00C261B4"/>
    <w:rsid w:val="00C617AE"/>
    <w:rsid w:val="00C93FAA"/>
    <w:rsid w:val="00CC767D"/>
    <w:rsid w:val="00CE3428"/>
    <w:rsid w:val="00CF0FF9"/>
    <w:rsid w:val="00D279A7"/>
    <w:rsid w:val="00D75831"/>
    <w:rsid w:val="00D81BA0"/>
    <w:rsid w:val="00D93CB0"/>
    <w:rsid w:val="00D9769C"/>
    <w:rsid w:val="00E124D0"/>
    <w:rsid w:val="00E320F5"/>
    <w:rsid w:val="00E34E1F"/>
    <w:rsid w:val="00E5563D"/>
    <w:rsid w:val="00E90591"/>
    <w:rsid w:val="00EA5F29"/>
    <w:rsid w:val="00EC6A5A"/>
    <w:rsid w:val="00ED4F46"/>
    <w:rsid w:val="00EF6949"/>
    <w:rsid w:val="00EF7731"/>
    <w:rsid w:val="00F07A10"/>
    <w:rsid w:val="00F2364B"/>
    <w:rsid w:val="00F27736"/>
    <w:rsid w:val="00F5063A"/>
    <w:rsid w:val="00F83994"/>
    <w:rsid w:val="00FB596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A17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0D1"/>
    <w:rPr>
      <w:b/>
      <w:bCs/>
    </w:rPr>
  </w:style>
  <w:style w:type="paragraph" w:styleId="a4">
    <w:name w:val="Body Text"/>
    <w:basedOn w:val="a"/>
    <w:link w:val="a5"/>
    <w:rsid w:val="007F20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F2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autoRedefine/>
    <w:rsid w:val="007F20D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FontStyle23">
    <w:name w:val="Font Style23"/>
    <w:basedOn w:val="a0"/>
    <w:rsid w:val="007F20D1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rsid w:val="007F20D1"/>
    <w:rPr>
      <w:color w:val="0000FF"/>
      <w:u w:val="single"/>
    </w:rPr>
  </w:style>
  <w:style w:type="paragraph" w:styleId="a8">
    <w:name w:val="Normal (Web)"/>
    <w:basedOn w:val="a"/>
    <w:uiPriority w:val="99"/>
    <w:rsid w:val="007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20D1"/>
  </w:style>
  <w:style w:type="character" w:customStyle="1" w:styleId="70">
    <w:name w:val="Заголовок 7 Знак"/>
    <w:basedOn w:val="a0"/>
    <w:link w:val="7"/>
    <w:rsid w:val="001A1775"/>
    <w:rPr>
      <w:rFonts w:ascii="Times New Roman" w:eastAsia="Times New Roman" w:hAnsi="Times New Roman" w:cs="Times New Roman"/>
      <w:b/>
      <w:sz w:val="28"/>
      <w:szCs w:val="20"/>
      <w:lang w:val="ru-MO" w:eastAsia="ru-RU"/>
    </w:rPr>
  </w:style>
  <w:style w:type="paragraph" w:styleId="a9">
    <w:name w:val="List Paragraph"/>
    <w:basedOn w:val="a"/>
    <w:uiPriority w:val="34"/>
    <w:qFormat/>
    <w:rsid w:val="00C079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6C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316A8A"/>
    <w:pPr>
      <w:spacing w:after="160" w:line="240" w:lineRule="exact"/>
      <w:ind w:firstLine="684"/>
      <w:jc w:val="both"/>
    </w:pPr>
    <w:rPr>
      <w:rFonts w:ascii="Times New Roman" w:eastAsia="SimSu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260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0D6"/>
  </w:style>
  <w:style w:type="character" w:customStyle="1" w:styleId="FontStyle28">
    <w:name w:val="Font Style28"/>
    <w:rsid w:val="007260D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260D6"/>
    <w:pPr>
      <w:widowControl w:val="0"/>
      <w:autoSpaceDE w:val="0"/>
      <w:autoSpaceDN w:val="0"/>
      <w:adjustRightInd w:val="0"/>
      <w:spacing w:after="0" w:line="235" w:lineRule="exact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260D6"/>
    <w:pPr>
      <w:widowControl w:val="0"/>
      <w:autoSpaceDE w:val="0"/>
      <w:autoSpaceDN w:val="0"/>
      <w:adjustRightInd w:val="0"/>
      <w:spacing w:after="0" w:line="23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B36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Без интервала Знак"/>
    <w:link w:val="1"/>
    <w:locked/>
    <w:rsid w:val="00B36835"/>
    <w:rPr>
      <w:sz w:val="24"/>
      <w:szCs w:val="24"/>
      <w:lang w:eastAsia="ru-RU"/>
    </w:rPr>
  </w:style>
  <w:style w:type="paragraph" w:customStyle="1" w:styleId="1">
    <w:name w:val="Без интервала1"/>
    <w:link w:val="ad"/>
    <w:rsid w:val="00B36835"/>
    <w:pPr>
      <w:spacing w:after="0" w:line="240" w:lineRule="auto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20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A17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0D1"/>
    <w:rPr>
      <w:b/>
      <w:bCs/>
    </w:rPr>
  </w:style>
  <w:style w:type="paragraph" w:styleId="a4">
    <w:name w:val="Body Text"/>
    <w:basedOn w:val="a"/>
    <w:link w:val="a5"/>
    <w:rsid w:val="007F20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F2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autoRedefine/>
    <w:rsid w:val="007F20D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FontStyle23">
    <w:name w:val="Font Style23"/>
    <w:basedOn w:val="a0"/>
    <w:rsid w:val="007F20D1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rsid w:val="007F20D1"/>
    <w:rPr>
      <w:color w:val="0000FF"/>
      <w:u w:val="single"/>
    </w:rPr>
  </w:style>
  <w:style w:type="paragraph" w:styleId="a8">
    <w:name w:val="Normal (Web)"/>
    <w:basedOn w:val="a"/>
    <w:uiPriority w:val="99"/>
    <w:rsid w:val="007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20D1"/>
  </w:style>
  <w:style w:type="character" w:customStyle="1" w:styleId="70">
    <w:name w:val="Заголовок 7 Знак"/>
    <w:basedOn w:val="a0"/>
    <w:link w:val="7"/>
    <w:rsid w:val="001A1775"/>
    <w:rPr>
      <w:rFonts w:ascii="Times New Roman" w:eastAsia="Times New Roman" w:hAnsi="Times New Roman" w:cs="Times New Roman"/>
      <w:b/>
      <w:sz w:val="28"/>
      <w:szCs w:val="20"/>
      <w:lang w:val="ru-MO" w:eastAsia="ru-RU"/>
    </w:rPr>
  </w:style>
  <w:style w:type="paragraph" w:styleId="a9">
    <w:name w:val="List Paragraph"/>
    <w:basedOn w:val="a"/>
    <w:uiPriority w:val="34"/>
    <w:qFormat/>
    <w:rsid w:val="00C079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6C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316A8A"/>
    <w:pPr>
      <w:spacing w:after="160" w:line="240" w:lineRule="exact"/>
      <w:ind w:firstLine="684"/>
      <w:jc w:val="both"/>
    </w:pPr>
    <w:rPr>
      <w:rFonts w:ascii="Times New Roman" w:eastAsia="SimSu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260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0D6"/>
  </w:style>
  <w:style w:type="character" w:customStyle="1" w:styleId="FontStyle28">
    <w:name w:val="Font Style28"/>
    <w:rsid w:val="007260D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260D6"/>
    <w:pPr>
      <w:widowControl w:val="0"/>
      <w:autoSpaceDE w:val="0"/>
      <w:autoSpaceDN w:val="0"/>
      <w:adjustRightInd w:val="0"/>
      <w:spacing w:after="0" w:line="235" w:lineRule="exact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260D6"/>
    <w:pPr>
      <w:widowControl w:val="0"/>
      <w:autoSpaceDE w:val="0"/>
      <w:autoSpaceDN w:val="0"/>
      <w:adjustRightInd w:val="0"/>
      <w:spacing w:after="0" w:line="23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B36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Без интервала Знак"/>
    <w:link w:val="1"/>
    <w:locked/>
    <w:rsid w:val="00B36835"/>
    <w:rPr>
      <w:sz w:val="24"/>
      <w:szCs w:val="24"/>
      <w:lang w:eastAsia="ru-RU"/>
    </w:rPr>
  </w:style>
  <w:style w:type="paragraph" w:customStyle="1" w:styleId="1">
    <w:name w:val="Без интервала1"/>
    <w:link w:val="ad"/>
    <w:rsid w:val="00B36835"/>
    <w:pPr>
      <w:spacing w:after="0" w:line="240" w:lineRule="auto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20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0.81/docs/ru/78684.html?p=1460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92.168.100.81/docs/ru/78684.html?p=145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192.168.100.81/docs/ru/78684.html?p=148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00.81/docs/ru/78684.html?p=147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Чуваева</dc:creator>
  <cp:lastModifiedBy>Жанара Болатовна Нагуманова</cp:lastModifiedBy>
  <cp:revision>2</cp:revision>
  <cp:lastPrinted>2013-11-01T10:18:00Z</cp:lastPrinted>
  <dcterms:created xsi:type="dcterms:W3CDTF">2015-04-29T05:37:00Z</dcterms:created>
  <dcterms:modified xsi:type="dcterms:W3CDTF">2015-04-29T05:37:00Z</dcterms:modified>
</cp:coreProperties>
</file>