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FD" w:rsidRDefault="003318FD" w:rsidP="003318FD">
      <w:pPr>
        <w:widowControl w:val="0"/>
        <w:autoSpaceDE w:val="0"/>
        <w:autoSpaceDN w:val="0"/>
        <w:adjustRightInd w:val="0"/>
        <w:ind w:right="-104" w:firstLine="708"/>
        <w:jc w:val="center"/>
        <w:rPr>
          <w:b/>
          <w:sz w:val="28"/>
          <w:szCs w:val="28"/>
          <w:lang w:val="kk-KZ"/>
        </w:rPr>
      </w:pPr>
      <w:r>
        <w:rPr>
          <w:b/>
          <w:sz w:val="28"/>
          <w:szCs w:val="28"/>
          <w:lang w:val="kk-KZ"/>
        </w:rPr>
        <w:t>БАСПАСӨЗ ХАБАРЛАМАСЫ</w:t>
      </w:r>
    </w:p>
    <w:p w:rsidR="003318FD" w:rsidRDefault="003318FD" w:rsidP="003318FD">
      <w:pPr>
        <w:rPr>
          <w:rFonts w:ascii="Times New Roman" w:hAnsi="Times New Roman"/>
          <w:b/>
          <w:sz w:val="28"/>
          <w:szCs w:val="28"/>
          <w:lang w:val="kk-KZ"/>
        </w:rPr>
      </w:pPr>
    </w:p>
    <w:p w:rsidR="003318FD" w:rsidRDefault="003318FD" w:rsidP="003318FD">
      <w:pPr>
        <w:rPr>
          <w:rFonts w:ascii="Times New Roman" w:hAnsi="Times New Roman"/>
          <w:b/>
          <w:sz w:val="28"/>
          <w:szCs w:val="28"/>
          <w:lang w:val="kk-KZ"/>
        </w:rPr>
      </w:pPr>
    </w:p>
    <w:p w:rsidR="003318FD" w:rsidRDefault="003318FD" w:rsidP="003318FD">
      <w:pPr>
        <w:jc w:val="center"/>
        <w:outlineLvl w:val="2"/>
        <w:rPr>
          <w:rFonts w:cs="Arial"/>
          <w:b/>
          <w:bCs/>
          <w:color w:val="000000"/>
          <w:sz w:val="27"/>
          <w:szCs w:val="27"/>
          <w:lang w:val="ru-RU"/>
        </w:rPr>
      </w:pPr>
      <w:r>
        <w:rPr>
          <w:rFonts w:cs="Arial"/>
          <w:b/>
          <w:bCs/>
          <w:color w:val="000000"/>
          <w:sz w:val="27"/>
          <w:szCs w:val="27"/>
          <w:lang w:val="ru-RU"/>
        </w:rPr>
        <w:t>Тамақ өнімдерін сәйкестендіру туралы</w:t>
      </w:r>
    </w:p>
    <w:p w:rsidR="003318FD" w:rsidRDefault="003318FD" w:rsidP="003318FD">
      <w:pPr>
        <w:jc w:val="center"/>
        <w:outlineLvl w:val="2"/>
        <w:rPr>
          <w:rFonts w:cs="Arial"/>
          <w:b/>
          <w:bCs/>
          <w:color w:val="000000"/>
          <w:sz w:val="27"/>
          <w:szCs w:val="27"/>
          <w:lang w:val="ru-RU"/>
        </w:rPr>
      </w:pPr>
    </w:p>
    <w:p w:rsidR="003318FD" w:rsidRDefault="003318FD" w:rsidP="003318FD">
      <w:pPr>
        <w:jc w:val="center"/>
        <w:outlineLvl w:val="2"/>
        <w:rPr>
          <w:rFonts w:cs="Arial"/>
          <w:b/>
          <w:bCs/>
          <w:color w:val="000000"/>
          <w:sz w:val="27"/>
          <w:szCs w:val="27"/>
          <w:lang w:val="ru-RU"/>
        </w:rPr>
      </w:pPr>
    </w:p>
    <w:p w:rsidR="003318FD" w:rsidRDefault="003318FD" w:rsidP="003318FD">
      <w:pPr>
        <w:ind w:firstLine="709"/>
        <w:jc w:val="both"/>
        <w:rPr>
          <w:rFonts w:cs="Arial"/>
          <w:color w:val="000000"/>
          <w:sz w:val="27"/>
          <w:szCs w:val="27"/>
          <w:lang w:val="ru-RU"/>
        </w:rPr>
      </w:pPr>
      <w:r>
        <w:rPr>
          <w:rFonts w:cs="Arial"/>
          <w:color w:val="000000"/>
          <w:sz w:val="27"/>
          <w:szCs w:val="27"/>
          <w:lang w:val="ru-RU"/>
        </w:rPr>
        <w:t>Кеден одағының Техникалық регламенттерімен тамақ өнімдеріне қатысты міндетті талаптар белгіленді.</w:t>
      </w:r>
    </w:p>
    <w:p w:rsidR="003318FD" w:rsidRDefault="003318FD" w:rsidP="003318FD">
      <w:pPr>
        <w:ind w:firstLine="709"/>
        <w:jc w:val="both"/>
        <w:rPr>
          <w:rFonts w:cs="Arial"/>
          <w:color w:val="000000"/>
          <w:sz w:val="27"/>
          <w:szCs w:val="27"/>
          <w:lang w:val="ru-RU"/>
        </w:rPr>
      </w:pPr>
      <w:r>
        <w:rPr>
          <w:rFonts w:cs="Arial"/>
          <w:color w:val="000000"/>
          <w:sz w:val="27"/>
          <w:szCs w:val="27"/>
          <w:lang w:val="ru-RU"/>
        </w:rPr>
        <w:t>Оларға 2011 жылғы 9 желтоқсанда бекітілген Кеден одағы комиссиясының «Тамақ өнімдерінің қауіпсіздігі туралы» (№880) және «Тамақ өнімдері оларды таңбалау бөлігінде» (№881) Шешімдері жатады.</w:t>
      </w:r>
    </w:p>
    <w:p w:rsidR="003318FD" w:rsidRDefault="003318FD" w:rsidP="003318FD">
      <w:pPr>
        <w:ind w:firstLine="709"/>
        <w:jc w:val="both"/>
        <w:rPr>
          <w:rFonts w:cs="Arial"/>
          <w:color w:val="000000"/>
          <w:sz w:val="27"/>
          <w:szCs w:val="27"/>
          <w:lang w:val="ru-RU"/>
        </w:rPr>
      </w:pPr>
      <w:r>
        <w:rPr>
          <w:rFonts w:cs="Arial"/>
          <w:color w:val="000000"/>
          <w:sz w:val="27"/>
          <w:szCs w:val="27"/>
          <w:lang w:val="ru-RU"/>
        </w:rPr>
        <w:t>«Тамақ өнімдерінің қауіпсіздігі туралы» Шешімнің  3,3–тармағына сәйкес Техникалық регламент күшіне енгенге дейін берілген немесе қабылданған  өнімнің аталған міндетті талаптарға сәйкестігін бағалау (растау) туралы құжат болған жағдайда, 2015 жылғы 15 ақпанға дейін бұрын Кеден одағына мүше мемлекеттің заңнамасымен немесе Кеден одағының нормативтік-құқықтық актілерімен белгіленген міндетті талаптарға сәйкес, өнімді өндіруге және шығаруға жол беріледі.</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Осы өнім Кеден одағына мүше-мемлекеттің заңнамасына және 2010 ж. 20 қыркүйектегі №386 Комиссия Шешімімен нарықта айналымның ұлттық белгісімен таңбаланатын болады.</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«Тамақ өнімінің қауіпсіздігі туралы»Техникалық регламенттің 5-бабына сәйкес тамақ өнімі №021/2011 КО ТР-ге, сондай-ақ оларға қатысты қолданылатын және сәйкестігі бағалаудан өткен Кеден одағының өзге техникалық регламенттеріне сәйкес болса ғана айналысмға шығарылады. Ол Кеден одағына мүше мемлекеттер нарығында айналымның бірыңғай белгісімен таңбаланады.</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Айналымдағы тамақ өнімі оны қадағалап отыруға мүмкіндік беретін тауарға ілеспе құжатпен алып жүрілуі керек.</w:t>
      </w:r>
    </w:p>
    <w:p w:rsidR="003318FD" w:rsidRDefault="003318FD" w:rsidP="003318FD">
      <w:pPr>
        <w:pStyle w:val="a3"/>
        <w:tabs>
          <w:tab w:val="left" w:pos="0"/>
        </w:tabs>
        <w:spacing w:after="0" w:line="240" w:lineRule="auto"/>
        <w:ind w:left="0" w:firstLine="709"/>
        <w:jc w:val="both"/>
        <w:rPr>
          <w:rFonts w:ascii="Arial" w:eastAsia="Times New Roman" w:hAnsi="Arial" w:cs="Arial"/>
          <w:sz w:val="27"/>
          <w:szCs w:val="27"/>
          <w:lang w:val="kk-KZ"/>
        </w:rPr>
      </w:pPr>
      <w:r>
        <w:rPr>
          <w:rFonts w:ascii="Arial" w:eastAsia="Times New Roman" w:hAnsi="Arial" w:cs="Arial"/>
          <w:sz w:val="27"/>
          <w:szCs w:val="27"/>
          <w:lang w:val="kk-KZ"/>
        </w:rPr>
        <w:t xml:space="preserve">Тамақ өнімін қадағалау – айналымдағы тамақ өнімінің соңғы тұтынушысынан басқа өндірушісін және одан кейінгі меншік иелерін, сондай-ақ тамақ өнімінің және (немесе) азық-түлік (тамақ) шикізатының шыққан (өндірілген, жасалған) орнын құжаттық (қағаз және/немесе электрондық тасымалдағышта) анықтау мүмкіндігі.  </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Тамақ өнімінің таңбалануы оның таңбалануы бөлігінде тамақ өніміне қатысты талаптарды белгілейтін Кеден одағының техникалық регламентінің талаптарына және Кеден одағының техникалық регламентінің тағам өнімдерінің жекелеген түрлеріне қойылған талаптарына сәйкес  болуы керек (ТР ТС №022/2011).</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Егер тағам өнімдерінің жекелеген түрлеріне Кеден одағының Техникалық регламентімен басқадай көрсетілмесе, сәйкестік бағалауынан өткен тағам өнімі  Кеден одағына мүше-мемлекеттердің нарығында бірыңғай айналым белгісімен таңбалануы керек.</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Орамасыз тамақ өнімін бірыңғай айналым белгісімен таңбалау тауарға ілеспе құжаттарға қойылады.</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lastRenderedPageBreak/>
        <w:t>Оның таңбалануы оған қолданылатын Кеден одағының техникалық регламенті талаптарына сәйкес болса, нарықтағы айналымға жіберіледі.</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Орамадағы тамақ өнімдерінде мына мәліметтер болуы керек:</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 тамақ өнімін дайындаушының атауы мен орналасқан жері немесе тамақ өнімін дайындаушы - жеке кәсіпкердің аты-жөні, орналасқан орны, сондай-ақ Кеден одағының техникалық регламентімен белгіленген жағдайларда, дайындаушымен белгіленген құзіретті тұлғаның, импорттаушы ұйымның атауы және орналасқан орны немесе импорттаушы жеке кәсіпкердің деректері;</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 xml:space="preserve">- Кеден одағына мүше-мемлекеттердің нарығындағы айналымның бірыңғай белгісі. Тамақ өнімі орналастырылған көлік орамасының таңбалануында №022/2011 Кеден одағының техникалық регламентінің 4-бабы 4,2 – бөлігі, 1- тармағында көрсетілген мәліметтер, соның ішінде тамақ өнімін дайындаушының атауы және орналасқан жері немесе тамақ өнімін дайындаушы жеке кәсіпкердің аты-жөні және орналасқан жері болуы керек. </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Егер көлік орамасына тамақ өнімі дайындаушымен кейін өлшеп салуға арналған тұтыну орамасынсыз  (кәмпиттер, қант және басқа тамақ өнімі) салынса, ондай тамақ өнімі орналасқан көлік орамасын таңбалау № 022/2011 КО ТР-нің 4-бабы 4,1-бөлігі 1-тармағымен қарастырылған талаптарға сәйкес болуы керек.</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 xml:space="preserve">Кеден одағы комиссиясының 2011 жылғы 15 шілдедегі №711 Шешімімен бекітілген Кеден одағына мүше-мемлекеттердің нарығында Бірыңғай өнімнің айналым белгісі туралы ереженің (бұдан әрі – Бірыңғай белгі туралы ереже) 2-тармағына сәйкес, бірыңғай айналым белгісі онымен таңбаланған өнімнің Кеден одағының техникалық регламентінде белгіленген барлық сәйкестігін бағалау рәсімдерінен өткендігі және осы өнімге қолданылатын Кеден одағының техникалық регламенттерінің барлық талаптарына сәйкестігі   туралы куәландырады. </w:t>
      </w:r>
    </w:p>
    <w:p w:rsidR="003318FD" w:rsidRDefault="003318FD" w:rsidP="003318FD">
      <w:pPr>
        <w:pStyle w:val="a3"/>
        <w:tabs>
          <w:tab w:val="left" w:pos="0"/>
        </w:tabs>
        <w:spacing w:after="0" w:line="240" w:lineRule="auto"/>
        <w:ind w:left="0" w:firstLine="709"/>
        <w:jc w:val="both"/>
        <w:rPr>
          <w:rFonts w:ascii="Arial" w:eastAsia="Times New Roman" w:hAnsi="Arial" w:cs="Arial"/>
          <w:color w:val="000000"/>
          <w:sz w:val="27"/>
          <w:szCs w:val="27"/>
          <w:lang w:val="kk-KZ"/>
        </w:rPr>
      </w:pPr>
      <w:r>
        <w:rPr>
          <w:rFonts w:ascii="Arial" w:eastAsia="Times New Roman" w:hAnsi="Arial" w:cs="Arial"/>
          <w:color w:val="000000"/>
          <w:sz w:val="27"/>
          <w:szCs w:val="27"/>
          <w:lang w:val="kk-KZ"/>
        </w:rPr>
        <w:t>Бірыңғай айналым белгісімен таңбалау өнімді Кеден одағына мүше-мемлекеттер нарығына айналымға шығару алдында жүзеге асырылады. Бірыңғай белгі туралы ереженің 5.1 – тармағына сәйкес Бірыңғай айналым белгісі өнімнің әр бірлігіне, орамасына немесе ілеспе құжатына соғылады.</w:t>
      </w:r>
    </w:p>
    <w:p w:rsidR="003318FD" w:rsidRDefault="003318FD" w:rsidP="003318FD">
      <w:pPr>
        <w:pStyle w:val="a3"/>
        <w:tabs>
          <w:tab w:val="left" w:pos="0"/>
        </w:tabs>
        <w:spacing w:after="0" w:line="240" w:lineRule="auto"/>
        <w:ind w:left="0" w:firstLine="709"/>
        <w:jc w:val="right"/>
        <w:rPr>
          <w:rFonts w:ascii="Arial" w:eastAsia="Times New Roman" w:hAnsi="Arial" w:cs="Arial"/>
          <w:b/>
          <w:color w:val="000000"/>
          <w:sz w:val="27"/>
          <w:szCs w:val="27"/>
          <w:lang w:val="kk-KZ"/>
        </w:rPr>
      </w:pPr>
    </w:p>
    <w:p w:rsidR="003318FD" w:rsidRDefault="003318FD" w:rsidP="003318FD">
      <w:pPr>
        <w:pStyle w:val="a3"/>
        <w:tabs>
          <w:tab w:val="left" w:pos="0"/>
        </w:tabs>
        <w:spacing w:after="0" w:line="240" w:lineRule="auto"/>
        <w:ind w:left="0" w:firstLine="709"/>
        <w:jc w:val="right"/>
        <w:rPr>
          <w:rFonts w:ascii="Arial" w:eastAsia="Times New Roman" w:hAnsi="Arial" w:cs="Arial"/>
          <w:b/>
          <w:color w:val="000000"/>
          <w:sz w:val="27"/>
          <w:szCs w:val="27"/>
          <w:lang w:val="kk-KZ"/>
        </w:rPr>
      </w:pPr>
      <w:r>
        <w:rPr>
          <w:rFonts w:ascii="Arial" w:eastAsia="Times New Roman" w:hAnsi="Arial" w:cs="Arial"/>
          <w:b/>
          <w:color w:val="000000"/>
          <w:sz w:val="27"/>
          <w:szCs w:val="27"/>
          <w:lang w:val="kk-KZ"/>
        </w:rPr>
        <w:t xml:space="preserve">ШҚО бойынша МКД КББ басшысы </w:t>
      </w:r>
    </w:p>
    <w:p w:rsidR="003318FD" w:rsidRDefault="003318FD" w:rsidP="003318FD">
      <w:pPr>
        <w:pStyle w:val="a3"/>
        <w:tabs>
          <w:tab w:val="left" w:pos="0"/>
        </w:tabs>
        <w:spacing w:after="0" w:line="240" w:lineRule="auto"/>
        <w:ind w:left="0" w:firstLine="709"/>
        <w:jc w:val="right"/>
        <w:rPr>
          <w:rFonts w:ascii="Arial" w:eastAsia="Times New Roman" w:hAnsi="Arial" w:cs="Arial"/>
          <w:b/>
          <w:color w:val="000000"/>
          <w:sz w:val="27"/>
          <w:szCs w:val="27"/>
          <w:lang w:val="kk-KZ"/>
        </w:rPr>
      </w:pPr>
      <w:r>
        <w:rPr>
          <w:rFonts w:ascii="Arial" w:eastAsia="Times New Roman" w:hAnsi="Arial" w:cs="Arial"/>
          <w:b/>
          <w:color w:val="000000"/>
          <w:sz w:val="27"/>
          <w:szCs w:val="27"/>
          <w:lang w:val="kk-KZ"/>
        </w:rPr>
        <w:t>Р.Н. Нұрлыбеков</w:t>
      </w:r>
    </w:p>
    <w:p w:rsidR="003318FD" w:rsidRDefault="003318FD" w:rsidP="003318FD">
      <w:pPr>
        <w:pStyle w:val="a3"/>
        <w:tabs>
          <w:tab w:val="left" w:pos="0"/>
        </w:tabs>
        <w:spacing w:after="0" w:line="240" w:lineRule="auto"/>
        <w:ind w:left="0" w:firstLine="709"/>
        <w:jc w:val="right"/>
        <w:rPr>
          <w:rFonts w:ascii="Arial" w:eastAsia="Times New Roman" w:hAnsi="Arial" w:cs="Arial"/>
          <w:color w:val="000000"/>
          <w:sz w:val="27"/>
          <w:szCs w:val="27"/>
          <w:lang w:val="kk-KZ"/>
        </w:rPr>
      </w:pPr>
    </w:p>
    <w:p w:rsidR="003318FD" w:rsidRDefault="003318FD" w:rsidP="003318FD">
      <w:pPr>
        <w:spacing w:line="240" w:lineRule="atLeast"/>
        <w:jc w:val="both"/>
        <w:rPr>
          <w:rFonts w:cs="Arial"/>
          <w:b/>
          <w:bCs/>
          <w:color w:val="000000"/>
          <w:sz w:val="28"/>
          <w:szCs w:val="28"/>
          <w:lang w:val="kk-KZ"/>
        </w:rPr>
      </w:pPr>
      <w:r>
        <w:rPr>
          <w:rFonts w:cs="Arial"/>
          <w:b/>
          <w:bCs/>
          <w:color w:val="000000"/>
          <w:sz w:val="28"/>
          <w:szCs w:val="28"/>
          <w:lang w:val="kk-KZ"/>
        </w:rPr>
        <w:tab/>
      </w:r>
    </w:p>
    <w:p w:rsidR="003318FD" w:rsidRDefault="003318FD" w:rsidP="003318FD">
      <w:pPr>
        <w:spacing w:line="240" w:lineRule="atLeast"/>
        <w:ind w:firstLine="708"/>
        <w:jc w:val="both"/>
        <w:rPr>
          <w:rFonts w:cs="Arial"/>
          <w:b/>
          <w:bCs/>
          <w:color w:val="000000"/>
          <w:sz w:val="28"/>
          <w:szCs w:val="28"/>
          <w:lang w:val="kk-KZ"/>
        </w:rPr>
      </w:pPr>
    </w:p>
    <w:p w:rsidR="003318FD" w:rsidRDefault="003318FD" w:rsidP="003318FD">
      <w:pPr>
        <w:ind w:firstLine="708"/>
        <w:jc w:val="both"/>
        <w:rPr>
          <w:rFonts w:ascii="Times New Roman" w:hAnsi="Times New Roman"/>
          <w:b/>
          <w:sz w:val="28"/>
          <w:szCs w:val="28"/>
          <w:lang w:val="kk-KZ"/>
        </w:rPr>
      </w:pPr>
    </w:p>
    <w:p w:rsidR="00385847" w:rsidRDefault="00385847">
      <w:bookmarkStart w:id="0" w:name="_GoBack"/>
      <w:bookmarkEnd w:id="0"/>
    </w:p>
    <w:sectPr w:rsidR="00385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6F"/>
    <w:rsid w:val="003318FD"/>
    <w:rsid w:val="00385847"/>
    <w:rsid w:val="00DF2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FD"/>
    <w:pPr>
      <w:spacing w:after="0" w:line="240" w:lineRule="auto"/>
    </w:pPr>
    <w:rPr>
      <w:rFonts w:ascii="Arial" w:eastAsia="Times New Roman" w:hAnsi="Arial" w:cs="Times New Roman"/>
      <w:sz w:val="24"/>
      <w:szCs w:val="24"/>
      <w:lang w:val="en-GB"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8FD"/>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FD"/>
    <w:pPr>
      <w:spacing w:after="0" w:line="240" w:lineRule="auto"/>
    </w:pPr>
    <w:rPr>
      <w:rFonts w:ascii="Arial" w:eastAsia="Times New Roman" w:hAnsi="Arial" w:cs="Times New Roman"/>
      <w:sz w:val="24"/>
      <w:szCs w:val="24"/>
      <w:lang w:val="en-GB"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8FD"/>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Company>ND VKO</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2</cp:revision>
  <dcterms:created xsi:type="dcterms:W3CDTF">2015-04-30T11:33:00Z</dcterms:created>
  <dcterms:modified xsi:type="dcterms:W3CDTF">2015-04-30T11:33:00Z</dcterms:modified>
</cp:coreProperties>
</file>